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285F19" w14:textId="77777777" w:rsidR="008206B0" w:rsidRDefault="001A61DA">
      <w:pPr>
        <w:pStyle w:val="CRCoverPage"/>
        <w:tabs>
          <w:tab w:val="right" w:pos="9360"/>
        </w:tabs>
        <w:spacing w:after="0"/>
        <w:jc w:val="both"/>
        <w:rPr>
          <w:rFonts w:eastAsia="宋体"/>
          <w:b/>
          <w:color w:val="FFFFFF"/>
          <w:sz w:val="22"/>
          <w:szCs w:val="22"/>
          <w:lang w:val="sv-SE" w:eastAsia="zh-CN"/>
        </w:rPr>
      </w:pPr>
      <w:bookmarkStart w:id="0" w:name="OLE_LINK6"/>
      <w:r>
        <w:rPr>
          <w:rFonts w:eastAsia="宋体"/>
          <w:b/>
          <w:sz w:val="22"/>
          <w:szCs w:val="22"/>
          <w:lang w:val="sv-SE" w:eastAsia="zh-CN"/>
        </w:rPr>
        <w:t>3GPP TSG</w:t>
      </w:r>
      <w:r>
        <w:rPr>
          <w:rFonts w:eastAsia="宋体" w:hint="eastAsia"/>
          <w:b/>
          <w:sz w:val="22"/>
          <w:szCs w:val="22"/>
          <w:lang w:val="en-US" w:eastAsia="zh-CN"/>
        </w:rPr>
        <w:t xml:space="preserve"> </w:t>
      </w:r>
      <w:r>
        <w:rPr>
          <w:rFonts w:eastAsia="宋体"/>
          <w:b/>
          <w:sz w:val="22"/>
          <w:szCs w:val="22"/>
          <w:lang w:val="sv-SE" w:eastAsia="zh-CN"/>
        </w:rPr>
        <w:t>RAN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WG1 </w:t>
      </w:r>
      <w:r>
        <w:rPr>
          <w:rFonts w:eastAsia="宋体"/>
          <w:b/>
          <w:sz w:val="22"/>
          <w:szCs w:val="22"/>
          <w:lang w:val="sv-SE" w:eastAsia="zh-CN"/>
        </w:rPr>
        <w:t>Meeting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#</w:t>
      </w:r>
      <w:r>
        <w:rPr>
          <w:rFonts w:eastAsia="宋体" w:hint="eastAsia"/>
          <w:b/>
          <w:sz w:val="22"/>
          <w:szCs w:val="22"/>
          <w:lang w:val="en-US" w:eastAsia="zh-CN"/>
        </w:rPr>
        <w:t>93</w:t>
      </w:r>
      <w:r>
        <w:rPr>
          <w:rFonts w:eastAsia="宋体"/>
          <w:b/>
          <w:sz w:val="22"/>
          <w:szCs w:val="22"/>
          <w:lang w:val="sv-SE" w:eastAsia="zh-CN"/>
        </w:rPr>
        <w:tab/>
        <w:t>R1-</w:t>
      </w:r>
      <w:r>
        <w:rPr>
          <w:rFonts w:eastAsia="宋体" w:hint="eastAsia"/>
          <w:b/>
          <w:sz w:val="22"/>
          <w:szCs w:val="22"/>
          <w:lang w:val="en-US" w:eastAsia="zh-CN"/>
        </w:rPr>
        <w:t>18</w:t>
      </w:r>
      <w:r>
        <w:rPr>
          <w:rFonts w:eastAsia="宋体" w:hint="eastAsia"/>
          <w:b/>
          <w:sz w:val="22"/>
          <w:szCs w:val="22"/>
          <w:lang w:val="en-US" w:eastAsia="zh-CN"/>
        </w:rPr>
        <w:t>06461</w:t>
      </w:r>
    </w:p>
    <w:p w14:paraId="1DD52C55" w14:textId="77777777" w:rsidR="008206B0" w:rsidRDefault="001A61DA">
      <w:pPr>
        <w:pStyle w:val="CRCoverPage"/>
        <w:tabs>
          <w:tab w:val="right" w:pos="9270"/>
        </w:tabs>
        <w:spacing w:after="0"/>
        <w:ind w:right="134"/>
        <w:jc w:val="both"/>
        <w:rPr>
          <w:b/>
          <w:sz w:val="22"/>
          <w:szCs w:val="22"/>
          <w:lang w:val="sv-SE"/>
        </w:rPr>
      </w:pPr>
      <w:r>
        <w:rPr>
          <w:rFonts w:eastAsia="宋体" w:hint="eastAsia"/>
          <w:b/>
          <w:bCs/>
          <w:sz w:val="22"/>
          <w:szCs w:val="22"/>
          <w:lang w:val="en-US" w:eastAsia="zh-CN"/>
        </w:rPr>
        <w:t>Busan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, </w:t>
      </w:r>
      <w:r>
        <w:rPr>
          <w:rFonts w:eastAsia="宋体" w:hint="eastAsia"/>
          <w:b/>
          <w:sz w:val="22"/>
          <w:szCs w:val="22"/>
          <w:lang w:val="en-US" w:eastAsia="zh-CN"/>
        </w:rPr>
        <w:t>Korea</w:t>
      </w:r>
      <w:r>
        <w:rPr>
          <w:rFonts w:eastAsia="宋体"/>
          <w:b/>
          <w:sz w:val="22"/>
          <w:szCs w:val="22"/>
          <w:lang w:val="sv-SE" w:eastAsia="zh-CN"/>
        </w:rPr>
        <w:t xml:space="preserve">, </w:t>
      </w:r>
      <w:r>
        <w:rPr>
          <w:rFonts w:eastAsia="宋体" w:hint="eastAsia"/>
          <w:b/>
          <w:sz w:val="22"/>
          <w:szCs w:val="22"/>
          <w:lang w:val="en-US" w:eastAsia="zh-CN"/>
        </w:rPr>
        <w:t>May 21</w:t>
      </w:r>
      <w:r>
        <w:rPr>
          <w:rFonts w:eastAsia="宋体" w:hint="eastAsia"/>
          <w:b/>
          <w:sz w:val="22"/>
          <w:szCs w:val="22"/>
          <w:vertAlign w:val="superscript"/>
          <w:lang w:val="en-US" w:eastAsia="zh-CN"/>
        </w:rPr>
        <w:t>st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- </w:t>
      </w:r>
      <w:r>
        <w:rPr>
          <w:rFonts w:eastAsia="宋体" w:hint="eastAsia"/>
          <w:b/>
          <w:sz w:val="22"/>
          <w:szCs w:val="22"/>
          <w:lang w:val="en-US" w:eastAsia="zh-CN"/>
        </w:rPr>
        <w:t>25</w:t>
      </w:r>
      <w:r>
        <w:rPr>
          <w:rFonts w:eastAsia="宋体" w:hint="eastAsia"/>
          <w:b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hint="eastAsia"/>
          <w:b/>
          <w:sz w:val="22"/>
          <w:szCs w:val="22"/>
          <w:lang w:val="en-US" w:eastAsia="zh-CN"/>
        </w:rPr>
        <w:t>,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201</w:t>
      </w:r>
      <w:r>
        <w:rPr>
          <w:rFonts w:eastAsia="宋体" w:hint="eastAsia"/>
          <w:b/>
          <w:sz w:val="22"/>
          <w:szCs w:val="22"/>
          <w:lang w:val="en-US" w:eastAsia="zh-CN"/>
        </w:rPr>
        <w:t>8</w:t>
      </w:r>
    </w:p>
    <w:p w14:paraId="1612823D" w14:textId="77777777" w:rsidR="008206B0" w:rsidRDefault="008206B0">
      <w:pPr>
        <w:pStyle w:val="CRCoverPage"/>
        <w:tabs>
          <w:tab w:val="right" w:pos="9639"/>
        </w:tabs>
        <w:spacing w:after="0"/>
        <w:jc w:val="both"/>
        <w:rPr>
          <w:rFonts w:eastAsia="宋体"/>
          <w:b/>
          <w:sz w:val="22"/>
          <w:szCs w:val="22"/>
          <w:lang w:val="sv-SE" w:eastAsia="zh-CN"/>
        </w:rPr>
      </w:pPr>
    </w:p>
    <w:p w14:paraId="5F1B0AF7" w14:textId="77777777" w:rsidR="008206B0" w:rsidRDefault="001A61DA">
      <w:pPr>
        <w:pStyle w:val="aa"/>
        <w:spacing w:after="100" w:line="260" w:lineRule="auto"/>
        <w:ind w:left="1797" w:hanging="1797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Title:                     </w:t>
      </w:r>
      <w:r>
        <w:rPr>
          <w:rFonts w:eastAsia="宋体" w:hint="eastAsia"/>
          <w:sz w:val="22"/>
          <w:szCs w:val="22"/>
          <w:lang w:val="en-US" w:eastAsia="zh-CN"/>
        </w:rPr>
        <w:t>Considerations on UL reference signals and channels design for NR-U</w:t>
      </w:r>
    </w:p>
    <w:p w14:paraId="2B809766" w14:textId="77777777" w:rsidR="008206B0" w:rsidRDefault="001A61DA">
      <w:pPr>
        <w:pStyle w:val="aa"/>
        <w:tabs>
          <w:tab w:val="left" w:pos="1805"/>
        </w:tabs>
        <w:spacing w:after="100" w:line="260" w:lineRule="auto"/>
        <w:ind w:left="1797" w:hanging="1797"/>
        <w:jc w:val="both"/>
        <w:rPr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Source: </w:t>
      </w:r>
      <w:r>
        <w:rPr>
          <w:sz w:val="22"/>
          <w:szCs w:val="22"/>
          <w:lang w:eastAsia="zh-CN"/>
        </w:rPr>
        <w:tab/>
      </w:r>
      <w:r>
        <w:rPr>
          <w:rFonts w:eastAsia="宋体"/>
          <w:sz w:val="22"/>
          <w:szCs w:val="22"/>
          <w:lang w:eastAsia="zh-CN"/>
        </w:rPr>
        <w:t>ZTE</w:t>
      </w:r>
    </w:p>
    <w:p w14:paraId="7F3CEC95" w14:textId="77777777" w:rsidR="008206B0" w:rsidRDefault="001A61DA">
      <w:pPr>
        <w:pStyle w:val="aa"/>
        <w:tabs>
          <w:tab w:val="left" w:pos="1800"/>
        </w:tabs>
        <w:spacing w:after="100" w:line="260" w:lineRule="auto"/>
        <w:jc w:val="both"/>
        <w:rPr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Agenda Item:</w:t>
      </w:r>
      <w:r>
        <w:rPr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val="en-US" w:eastAsia="zh-CN"/>
        </w:rPr>
        <w:t>7</w:t>
      </w:r>
      <w:r>
        <w:rPr>
          <w:rFonts w:eastAsia="宋体" w:hint="eastAsia"/>
          <w:sz w:val="22"/>
          <w:szCs w:val="22"/>
          <w:lang w:val="sv-SE" w:eastAsia="zh-CN"/>
        </w:rPr>
        <w:t>.</w:t>
      </w:r>
      <w:r>
        <w:rPr>
          <w:rFonts w:eastAsia="宋体" w:hint="eastAsia"/>
          <w:sz w:val="22"/>
          <w:szCs w:val="22"/>
          <w:lang w:val="en-US" w:eastAsia="zh-CN"/>
        </w:rPr>
        <w:t>6</w:t>
      </w:r>
      <w:r>
        <w:rPr>
          <w:rFonts w:eastAsia="宋体" w:hint="eastAsia"/>
          <w:sz w:val="22"/>
          <w:szCs w:val="22"/>
          <w:lang w:val="sv-SE" w:eastAsia="zh-CN"/>
        </w:rPr>
        <w:t>.</w:t>
      </w:r>
      <w:r>
        <w:rPr>
          <w:rFonts w:eastAsia="宋体" w:hint="eastAsia"/>
          <w:sz w:val="22"/>
          <w:szCs w:val="22"/>
          <w:lang w:val="en-US" w:eastAsia="zh-CN"/>
        </w:rPr>
        <w:t>3.2</w:t>
      </w:r>
    </w:p>
    <w:p w14:paraId="5F4D09BC" w14:textId="77777777" w:rsidR="008206B0" w:rsidRDefault="001A61DA">
      <w:pPr>
        <w:pStyle w:val="aa"/>
        <w:tabs>
          <w:tab w:val="left" w:pos="1800"/>
        </w:tabs>
        <w:spacing w:after="100" w:line="260" w:lineRule="auto"/>
        <w:jc w:val="both"/>
        <w:rPr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Document for:</w:t>
      </w:r>
      <w:r>
        <w:rPr>
          <w:sz w:val="22"/>
          <w:szCs w:val="22"/>
          <w:lang w:eastAsia="zh-CN"/>
        </w:rPr>
        <w:tab/>
      </w:r>
      <w:r>
        <w:rPr>
          <w:rFonts w:eastAsia="宋体"/>
          <w:sz w:val="22"/>
          <w:szCs w:val="22"/>
          <w:lang w:eastAsia="zh-CN"/>
        </w:rPr>
        <w:t>Discussion and Decision</w:t>
      </w:r>
    </w:p>
    <w:p w14:paraId="297B6A02" w14:textId="77777777" w:rsidR="008206B0" w:rsidRDefault="001A61DA">
      <w:pPr>
        <w:pStyle w:val="1"/>
        <w:spacing w:before="360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>Introduction</w:t>
      </w:r>
    </w:p>
    <w:p w14:paraId="7E9E9A1A" w14:textId="77777777" w:rsidR="008206B0" w:rsidRDefault="001A61DA">
      <w:pPr>
        <w:widowControl w:val="0"/>
        <w:autoSpaceDE w:val="0"/>
        <w:autoSpaceDN w:val="0"/>
        <w:adjustRightInd w:val="0"/>
        <w:jc w:val="both"/>
        <w:rPr>
          <w:rFonts w:eastAsia="宋体"/>
          <w:sz w:val="21"/>
          <w:szCs w:val="21"/>
          <w:lang w:val="en-US" w:eastAsia="zh-CN"/>
        </w:rPr>
      </w:pPr>
      <w:bookmarkStart w:id="1" w:name="OLE_LINK2"/>
      <w:bookmarkStart w:id="2" w:name="OLE_LINK16"/>
      <w:bookmarkStart w:id="3" w:name="OLE_LINK1"/>
      <w:bookmarkStart w:id="4" w:name="OLE_LINK15"/>
      <w:r>
        <w:rPr>
          <w:rFonts w:eastAsia="宋体" w:hint="eastAsia"/>
          <w:sz w:val="21"/>
          <w:szCs w:val="21"/>
          <w:lang w:val="en-US" w:eastAsia="zh-CN"/>
        </w:rPr>
        <w:t>The SID on NR-U (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NR-based Access to Unlicensed Spectrum</w:t>
      </w:r>
      <w:r>
        <w:rPr>
          <w:rFonts w:eastAsia="宋体" w:hint="eastAsia"/>
          <w:sz w:val="21"/>
          <w:szCs w:val="21"/>
          <w:lang w:val="en-US" w:eastAsia="zh-CN"/>
        </w:rPr>
        <w:t>) [1] aims to identify and evaluate solutions and techniques for next generation wireless systems operating on unlicensed bands e.g. 5GHz, 60GHz. Besides, coexistence methods within NR-bas</w:t>
      </w:r>
      <w:r>
        <w:rPr>
          <w:rFonts w:eastAsia="宋体" w:hint="eastAsia"/>
          <w:sz w:val="21"/>
          <w:szCs w:val="21"/>
          <w:lang w:val="en-US" w:eastAsia="zh-CN"/>
        </w:rPr>
        <w:t>ed and between NR-based operation in unlicensed and LTE-based LAA and with other incumbent RATs in accordance with regulatory requirements should also be studied. In RAN1#92bis meeting, RAN1 listed some channels and reference signals to be studied for NR-U</w:t>
      </w:r>
      <w:r>
        <w:rPr>
          <w:rFonts w:eastAsia="宋体" w:hint="eastAsia"/>
          <w:sz w:val="21"/>
          <w:szCs w:val="21"/>
          <w:lang w:val="en-US" w:eastAsia="zh-CN"/>
        </w:rPr>
        <w:t xml:space="preserve"> [2]. The details are as follows:</w:t>
      </w:r>
    </w:p>
    <w:p w14:paraId="258ACD4F" w14:textId="77777777" w:rsidR="008206B0" w:rsidRDefault="001A61DA">
      <w:pPr>
        <w:spacing w:after="0"/>
        <w:rPr>
          <w:rFonts w:eastAsia="MS Mincho"/>
          <w:b/>
          <w:iCs/>
          <w:sz w:val="21"/>
          <w:szCs w:val="21"/>
          <w:u w:val="single"/>
          <w:lang w:eastAsia="ja-JP"/>
        </w:rPr>
      </w:pPr>
      <w:r>
        <w:rPr>
          <w:rFonts w:eastAsia="宋体"/>
          <w:b/>
          <w:iCs/>
          <w:sz w:val="21"/>
          <w:szCs w:val="21"/>
          <w:u w:val="single"/>
          <w:lang w:eastAsia="zh-CN"/>
        </w:rPr>
        <w:t xml:space="preserve">SID </w:t>
      </w:r>
      <w:r>
        <w:rPr>
          <w:rFonts w:eastAsia="宋体"/>
          <w:b/>
          <w:sz w:val="21"/>
          <w:szCs w:val="21"/>
          <w:u w:val="single"/>
          <w:lang w:eastAsia="zh-CN"/>
        </w:rPr>
        <w:t>RP-</w:t>
      </w:r>
      <w:r>
        <w:rPr>
          <w:rFonts w:eastAsia="宋体"/>
          <w:b/>
          <w:sz w:val="21"/>
          <w:szCs w:val="21"/>
          <w:u w:val="single"/>
          <w:lang w:val="en-US" w:eastAsia="zh-CN"/>
        </w:rPr>
        <w:t>170828</w:t>
      </w:r>
      <w:r>
        <w:rPr>
          <w:rFonts w:eastAsia="MS Mincho"/>
          <w:b/>
          <w:iCs/>
          <w:sz w:val="21"/>
          <w:szCs w:val="21"/>
          <w:u w:val="single"/>
          <w:lang w:eastAsia="ja-JP"/>
        </w:rPr>
        <w:t>:</w:t>
      </w:r>
    </w:p>
    <w:p w14:paraId="58F31EE6" w14:textId="77777777" w:rsidR="008206B0" w:rsidRDefault="001A61DA">
      <w:pPr>
        <w:pStyle w:val="B4"/>
        <w:numPr>
          <w:ilvl w:val="0"/>
          <w:numId w:val="9"/>
        </w:numPr>
        <w:spacing w:after="0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 xml:space="preserve">Study NR-based operation in unlicensed spectrum (RAN1, RAN2, RAN4) including </w:t>
      </w:r>
    </w:p>
    <w:p w14:paraId="01F5372C" w14:textId="77777777" w:rsidR="008206B0" w:rsidRDefault="001A61DA">
      <w:pPr>
        <w:numPr>
          <w:ilvl w:val="1"/>
          <w:numId w:val="10"/>
        </w:numPr>
        <w:spacing w:after="0"/>
        <w:rPr>
          <w:bCs/>
          <w:sz w:val="21"/>
          <w:szCs w:val="21"/>
          <w:lang w:val="en-US"/>
        </w:rPr>
      </w:pPr>
      <w:r>
        <w:rPr>
          <w:rFonts w:eastAsia="宋体"/>
          <w:bCs/>
          <w:sz w:val="21"/>
          <w:szCs w:val="21"/>
          <w:lang w:val="en-US"/>
        </w:rPr>
        <w:t xml:space="preserve">Physical channels inheriting the choices of duplex mode, waveform, carrier bandwidth, subcarrier spacing, frame structure, and </w:t>
      </w:r>
      <w:r>
        <w:rPr>
          <w:rFonts w:eastAsia="宋体"/>
          <w:bCs/>
          <w:sz w:val="21"/>
          <w:szCs w:val="21"/>
          <w:lang w:val="en-US"/>
        </w:rPr>
        <w:t>physical layer design made as part of the NR study and avoiding unnecessary divergence with decisions made in the NR WI</w:t>
      </w:r>
    </w:p>
    <w:p w14:paraId="37524FC1" w14:textId="77777777" w:rsidR="008206B0" w:rsidRDefault="001A61DA">
      <w:pPr>
        <w:numPr>
          <w:ilvl w:val="2"/>
          <w:numId w:val="10"/>
        </w:numPr>
        <w:spacing w:after="0"/>
        <w:rPr>
          <w:bCs/>
          <w:sz w:val="21"/>
          <w:szCs w:val="21"/>
          <w:lang w:val="en-US"/>
        </w:rPr>
      </w:pPr>
      <w:r>
        <w:rPr>
          <w:rFonts w:eastAsia="宋体"/>
          <w:bCs/>
          <w:sz w:val="21"/>
          <w:szCs w:val="21"/>
          <w:lang w:val="en-US"/>
        </w:rPr>
        <w:t>Consider unlicensed bands both below and above 6GHz, up to 52.6GHz</w:t>
      </w:r>
    </w:p>
    <w:p w14:paraId="6BCA5E81" w14:textId="77777777" w:rsidR="008206B0" w:rsidRDefault="001A61DA">
      <w:pPr>
        <w:numPr>
          <w:ilvl w:val="2"/>
          <w:numId w:val="10"/>
        </w:numPr>
        <w:spacing w:after="0"/>
        <w:rPr>
          <w:bCs/>
          <w:sz w:val="21"/>
          <w:szCs w:val="21"/>
          <w:lang w:val="en-US"/>
        </w:rPr>
      </w:pPr>
      <w:r>
        <w:rPr>
          <w:rFonts w:eastAsia="宋体"/>
          <w:bCs/>
          <w:sz w:val="21"/>
          <w:szCs w:val="21"/>
          <w:lang w:val="en-US"/>
        </w:rPr>
        <w:t>Consider unlicensed bands above 52.6GHz to the extent that waveform d</w:t>
      </w:r>
      <w:r>
        <w:rPr>
          <w:rFonts w:eastAsia="宋体"/>
          <w:bCs/>
          <w:sz w:val="21"/>
          <w:szCs w:val="21"/>
          <w:lang w:val="en-US"/>
        </w:rPr>
        <w:t xml:space="preserve">esign principles remain unchanged with respect to below 52.6GHz bands </w:t>
      </w:r>
    </w:p>
    <w:p w14:paraId="4D985EF8" w14:textId="77777777" w:rsidR="008206B0" w:rsidRDefault="001A61DA">
      <w:pPr>
        <w:numPr>
          <w:ilvl w:val="2"/>
          <w:numId w:val="10"/>
        </w:numPr>
        <w:spacing w:after="0"/>
        <w:rPr>
          <w:bCs/>
          <w:sz w:val="21"/>
          <w:szCs w:val="21"/>
          <w:lang w:val="en-US"/>
        </w:rPr>
      </w:pPr>
      <w:r>
        <w:rPr>
          <w:rFonts w:eastAsia="宋体"/>
          <w:bCs/>
          <w:sz w:val="21"/>
          <w:szCs w:val="21"/>
          <w:lang w:val="en-US" w:eastAsia="zh-CN"/>
        </w:rPr>
        <w:t>Consider similar forward compatibility principles made in the NR WI</w:t>
      </w:r>
    </w:p>
    <w:p w14:paraId="69801D58" w14:textId="77777777" w:rsidR="008206B0" w:rsidRDefault="001A61DA">
      <w:pPr>
        <w:numPr>
          <w:ilvl w:val="1"/>
          <w:numId w:val="10"/>
        </w:numPr>
        <w:spacing w:after="0"/>
        <w:rPr>
          <w:bCs/>
          <w:sz w:val="21"/>
          <w:szCs w:val="21"/>
        </w:rPr>
      </w:pPr>
      <w:r>
        <w:rPr>
          <w:rFonts w:eastAsia="宋体"/>
          <w:bCs/>
          <w:sz w:val="21"/>
          <w:szCs w:val="21"/>
        </w:rPr>
        <w:t xml:space="preserve">Initial access, channel access. Scheduling/HARQ, and mobility including connected/inactive/idle mode operation and </w:t>
      </w:r>
      <w:r>
        <w:rPr>
          <w:rFonts w:eastAsia="宋体"/>
          <w:bCs/>
          <w:sz w:val="21"/>
          <w:szCs w:val="21"/>
        </w:rPr>
        <w:t>radio-link monitoring/failure</w:t>
      </w:r>
    </w:p>
    <w:p w14:paraId="72F29D38" w14:textId="77777777" w:rsidR="008206B0" w:rsidRDefault="001A61DA">
      <w:pPr>
        <w:numPr>
          <w:ilvl w:val="1"/>
          <w:numId w:val="10"/>
        </w:numPr>
        <w:spacing w:after="0"/>
        <w:rPr>
          <w:bCs/>
          <w:sz w:val="21"/>
          <w:szCs w:val="21"/>
          <w:lang w:val="en-US"/>
        </w:rPr>
      </w:pPr>
      <w:r>
        <w:rPr>
          <w:rFonts w:eastAsia="宋体"/>
          <w:bCs/>
          <w:sz w:val="21"/>
          <w:szCs w:val="21"/>
          <w:lang w:val="en-US"/>
        </w:rPr>
        <w:t xml:space="preserve">Coexistence methods within NR-based and between NR-based operation in unlicensed and LTE-based LAA and with other incumbent RATs in accordance with regulatory requirements in e.g., 5GHz, 37GHz, 60GHz bands </w:t>
      </w:r>
    </w:p>
    <w:p w14:paraId="60866EE5" w14:textId="77777777" w:rsidR="008206B0" w:rsidRDefault="001A61DA">
      <w:pPr>
        <w:numPr>
          <w:ilvl w:val="2"/>
          <w:numId w:val="10"/>
        </w:numPr>
        <w:spacing w:after="0"/>
        <w:rPr>
          <w:bCs/>
          <w:sz w:val="21"/>
          <w:szCs w:val="21"/>
          <w:lang w:val="en-US"/>
        </w:rPr>
      </w:pPr>
      <w:r>
        <w:rPr>
          <w:rFonts w:eastAsia="宋体"/>
          <w:bCs/>
          <w:sz w:val="21"/>
          <w:szCs w:val="21"/>
          <w:lang w:val="en-US"/>
        </w:rPr>
        <w:t>Coexistence methods</w:t>
      </w:r>
      <w:r>
        <w:rPr>
          <w:rFonts w:eastAsia="宋体"/>
          <w:bCs/>
          <w:sz w:val="21"/>
          <w:szCs w:val="21"/>
          <w:lang w:val="en-US"/>
        </w:rPr>
        <w:t xml:space="preserve"> already defined for 5GHz band in LTE-based LAA context should be assumed as the baseline for 5GHz operation. Enhancements in 5GHz over these methods should not be precluded. NR-based operation in unlicensed spectrum should not impact deployed Wi-Fi servic</w:t>
      </w:r>
      <w:r>
        <w:rPr>
          <w:rFonts w:eastAsia="宋体"/>
          <w:bCs/>
          <w:sz w:val="21"/>
          <w:szCs w:val="21"/>
          <w:lang w:val="en-US"/>
        </w:rPr>
        <w:t xml:space="preserve">es (data, video and voice services) more than an additional Wi-Fi network on the same carrier; </w:t>
      </w:r>
    </w:p>
    <w:p w14:paraId="20592348" w14:textId="77777777" w:rsidR="008206B0" w:rsidRDefault="001A61DA">
      <w:pPr>
        <w:spacing w:before="180" w:after="60"/>
        <w:rPr>
          <w:b/>
          <w:bCs/>
          <w:sz w:val="21"/>
          <w:szCs w:val="21"/>
          <w:u w:val="single"/>
          <w:lang w:eastAsia="zh-CN"/>
        </w:rPr>
      </w:pPr>
      <w:r>
        <w:rPr>
          <w:rFonts w:eastAsia="宋体"/>
          <w:b/>
          <w:bCs/>
          <w:sz w:val="21"/>
          <w:szCs w:val="21"/>
          <w:u w:val="single"/>
          <w:lang w:eastAsia="zh-CN"/>
        </w:rPr>
        <w:t>Agreement</w:t>
      </w:r>
      <w:r>
        <w:rPr>
          <w:rFonts w:eastAsia="宋体"/>
          <w:b/>
          <w:bCs/>
          <w:sz w:val="21"/>
          <w:szCs w:val="21"/>
          <w:u w:val="single"/>
          <w:lang w:val="en-US" w:eastAsia="zh-CN"/>
        </w:rPr>
        <w:t xml:space="preserve"> in RAN1#92</w:t>
      </w:r>
      <w:r>
        <w:rPr>
          <w:rFonts w:eastAsia="宋体" w:hint="eastAsia"/>
          <w:b/>
          <w:bCs/>
          <w:sz w:val="21"/>
          <w:szCs w:val="21"/>
          <w:u w:val="single"/>
          <w:lang w:val="en-US" w:eastAsia="zh-CN"/>
        </w:rPr>
        <w:t>bis</w:t>
      </w:r>
      <w:r>
        <w:rPr>
          <w:rFonts w:eastAsia="宋体"/>
          <w:b/>
          <w:bCs/>
          <w:sz w:val="21"/>
          <w:szCs w:val="21"/>
          <w:u w:val="single"/>
          <w:lang w:eastAsia="zh-CN"/>
        </w:rPr>
        <w:t>:</w:t>
      </w:r>
    </w:p>
    <w:p w14:paraId="16AB3DB3" w14:textId="77777777" w:rsidR="008206B0" w:rsidRDefault="001A61DA">
      <w:pPr>
        <w:widowControl w:val="0"/>
        <w:numPr>
          <w:ilvl w:val="0"/>
          <w:numId w:val="11"/>
        </w:numPr>
        <w:spacing w:after="0" w:line="260" w:lineRule="auto"/>
        <w:jc w:val="both"/>
        <w:rPr>
          <w:lang w:val="en-US"/>
        </w:rPr>
      </w:pPr>
      <w:r>
        <w:rPr>
          <w:lang w:val="en-US"/>
        </w:rPr>
        <w:t>Study the design changes needed to support the following channels /signals in NR-U</w:t>
      </w:r>
    </w:p>
    <w:p w14:paraId="426ACCE0" w14:textId="77777777" w:rsidR="008206B0" w:rsidRDefault="001A61DA">
      <w:pPr>
        <w:widowControl w:val="0"/>
        <w:numPr>
          <w:ilvl w:val="1"/>
          <w:numId w:val="11"/>
        </w:numPr>
        <w:spacing w:after="0" w:line="260" w:lineRule="auto"/>
        <w:jc w:val="both"/>
        <w:rPr>
          <w:lang w:val="en-US"/>
        </w:rPr>
      </w:pPr>
      <w:r>
        <w:rPr>
          <w:lang w:val="en-US"/>
        </w:rPr>
        <w:t>PDCCH/PDSCH</w:t>
      </w:r>
    </w:p>
    <w:p w14:paraId="164286D8" w14:textId="77777777" w:rsidR="008206B0" w:rsidRDefault="001A61DA">
      <w:pPr>
        <w:widowControl w:val="0"/>
        <w:numPr>
          <w:ilvl w:val="1"/>
          <w:numId w:val="11"/>
        </w:numPr>
        <w:spacing w:after="0" w:line="260" w:lineRule="auto"/>
        <w:jc w:val="both"/>
        <w:rPr>
          <w:lang w:val="en-US"/>
        </w:rPr>
      </w:pPr>
      <w:r>
        <w:rPr>
          <w:lang w:val="en-US"/>
        </w:rPr>
        <w:t>PUCCH/PUSCH</w:t>
      </w:r>
    </w:p>
    <w:p w14:paraId="113BBB4D" w14:textId="77777777" w:rsidR="008206B0" w:rsidRDefault="001A61DA">
      <w:pPr>
        <w:widowControl w:val="0"/>
        <w:numPr>
          <w:ilvl w:val="1"/>
          <w:numId w:val="11"/>
        </w:numPr>
        <w:spacing w:after="0" w:line="260" w:lineRule="auto"/>
        <w:jc w:val="both"/>
        <w:rPr>
          <w:lang w:val="en-US"/>
        </w:rPr>
      </w:pPr>
      <w:r>
        <w:rPr>
          <w:lang w:val="en-US"/>
        </w:rPr>
        <w:t>PSS/SSS/PBCH</w:t>
      </w:r>
    </w:p>
    <w:p w14:paraId="3B8D409B" w14:textId="77777777" w:rsidR="008206B0" w:rsidRDefault="001A61DA">
      <w:pPr>
        <w:widowControl w:val="0"/>
        <w:numPr>
          <w:ilvl w:val="1"/>
          <w:numId w:val="11"/>
        </w:numPr>
        <w:spacing w:after="0" w:line="260" w:lineRule="auto"/>
        <w:jc w:val="both"/>
        <w:rPr>
          <w:lang w:val="en-US"/>
        </w:rPr>
      </w:pPr>
      <w:r>
        <w:rPr>
          <w:lang w:val="en-US"/>
        </w:rPr>
        <w:t>PRACH</w:t>
      </w:r>
    </w:p>
    <w:p w14:paraId="34F446A9" w14:textId="77777777" w:rsidR="008206B0" w:rsidRDefault="001A61DA">
      <w:pPr>
        <w:widowControl w:val="0"/>
        <w:numPr>
          <w:ilvl w:val="1"/>
          <w:numId w:val="11"/>
        </w:numPr>
        <w:spacing w:after="0" w:line="260" w:lineRule="auto"/>
        <w:jc w:val="both"/>
        <w:rPr>
          <w:lang w:val="en-US"/>
        </w:rPr>
      </w:pPr>
      <w:r>
        <w:rPr>
          <w:lang w:val="en-US"/>
        </w:rPr>
        <w:t>DL and UL</w:t>
      </w:r>
      <w:r>
        <w:rPr>
          <w:lang w:val="en-US"/>
        </w:rPr>
        <w:t xml:space="preserve"> reference signals applicable to the operational frequency range</w:t>
      </w:r>
    </w:p>
    <w:p w14:paraId="1A479EC2" w14:textId="77777777" w:rsidR="008206B0" w:rsidRDefault="001A61DA">
      <w:pPr>
        <w:widowControl w:val="0"/>
        <w:autoSpaceDE w:val="0"/>
        <w:autoSpaceDN w:val="0"/>
        <w:adjustRightInd w:val="0"/>
        <w:spacing w:before="180"/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/>
          <w:sz w:val="21"/>
          <w:szCs w:val="21"/>
          <w:lang w:val="en-US" w:eastAsia="zh-CN"/>
        </w:rPr>
        <w:t xml:space="preserve">In this contribution, </w:t>
      </w:r>
      <w:r>
        <w:rPr>
          <w:rFonts w:eastAsia="宋体" w:hint="eastAsia"/>
          <w:sz w:val="21"/>
          <w:szCs w:val="21"/>
          <w:lang w:val="en-US" w:eastAsia="zh-CN"/>
        </w:rPr>
        <w:t xml:space="preserve">we discuss potential </w:t>
      </w:r>
      <w:r>
        <w:rPr>
          <w:rFonts w:eastAsia="宋体" w:hint="eastAsia"/>
          <w:sz w:val="21"/>
          <w:szCs w:val="21"/>
          <w:lang w:val="en-US" w:eastAsia="zh-CN"/>
        </w:rPr>
        <w:t xml:space="preserve">UL </w:t>
      </w:r>
      <w:r>
        <w:rPr>
          <w:rFonts w:eastAsia="宋体" w:hint="eastAsia"/>
          <w:sz w:val="21"/>
          <w:szCs w:val="21"/>
          <w:lang w:val="en-US" w:eastAsia="zh-CN"/>
        </w:rPr>
        <w:t xml:space="preserve">physical layer channels and reference signals design, including PRACH, </w:t>
      </w:r>
      <w:r>
        <w:rPr>
          <w:rFonts w:eastAsia="宋体"/>
          <w:sz w:val="21"/>
          <w:szCs w:val="21"/>
          <w:lang w:val="en-US" w:eastAsia="zh-CN"/>
        </w:rPr>
        <w:t>PUSCH, PUCCH,</w:t>
      </w:r>
      <w:r>
        <w:rPr>
          <w:rFonts w:eastAsia="宋体" w:hint="eastAsia"/>
          <w:sz w:val="21"/>
          <w:szCs w:val="21"/>
          <w:lang w:val="en-US" w:eastAsia="zh-CN"/>
        </w:rPr>
        <w:t xml:space="preserve"> and SRS for NR-U. The views on NR-U DL signals/channels desi</w:t>
      </w:r>
      <w:r>
        <w:rPr>
          <w:rFonts w:eastAsia="宋体" w:hint="eastAsia"/>
          <w:sz w:val="21"/>
          <w:szCs w:val="21"/>
          <w:lang w:val="en-US" w:eastAsia="zh-CN"/>
        </w:rPr>
        <w:t>gn refer to companion contribution [3]</w:t>
      </w:r>
      <w:r>
        <w:rPr>
          <w:rFonts w:eastAsia="宋体" w:hint="eastAsia"/>
          <w:sz w:val="21"/>
          <w:szCs w:val="21"/>
          <w:lang w:val="en-US" w:eastAsia="zh-CN"/>
        </w:rPr>
        <w:t>.</w:t>
      </w:r>
    </w:p>
    <w:p w14:paraId="48A23864" w14:textId="77777777" w:rsidR="008206B0" w:rsidRDefault="001A61DA">
      <w:pPr>
        <w:pStyle w:val="1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lastRenderedPageBreak/>
        <w:t xml:space="preserve"> Potential UL physical channels and reference signals design</w:t>
      </w:r>
    </w:p>
    <w:p w14:paraId="125A2BD9" w14:textId="77777777" w:rsidR="008206B0" w:rsidRDefault="001A61DA">
      <w:pPr>
        <w:pStyle w:val="2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 xml:space="preserve"> PRACH</w:t>
      </w:r>
    </w:p>
    <w:p w14:paraId="2850DD4E" w14:textId="74A8E709" w:rsidR="008206B0" w:rsidRDefault="001A61DA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In LTE-LAA, PRACH procedure was not supported in the </w:t>
      </w:r>
      <w:r>
        <w:rPr>
          <w:rFonts w:eastAsia="宋体" w:hint="eastAsia"/>
          <w:sz w:val="21"/>
          <w:szCs w:val="21"/>
          <w:lang w:val="en-US" w:eastAsia="zh-CN"/>
        </w:rPr>
        <w:t xml:space="preserve">Scell </w:t>
      </w:r>
      <w:r w:rsidR="00AC531F">
        <w:rPr>
          <w:rFonts w:eastAsia="宋体"/>
          <w:sz w:val="21"/>
          <w:szCs w:val="21"/>
          <w:lang w:val="en-US" w:eastAsia="zh-CN"/>
        </w:rPr>
        <w:t>on an</w:t>
      </w:r>
      <w:r>
        <w:rPr>
          <w:rFonts w:eastAsia="宋体" w:hint="eastAsia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 xml:space="preserve">unlicensed carrier. </w:t>
      </w:r>
      <w:r>
        <w:rPr>
          <w:rFonts w:eastAsia="宋体" w:hint="eastAsia"/>
          <w:sz w:val="21"/>
          <w:szCs w:val="21"/>
          <w:lang w:val="en-US" w:eastAsia="zh-CN"/>
        </w:rPr>
        <w:t xml:space="preserve">NR-U supports </w:t>
      </w:r>
      <w:r>
        <w:rPr>
          <w:rFonts w:eastAsia="宋体" w:hint="eastAsia"/>
          <w:sz w:val="21"/>
          <w:szCs w:val="21"/>
          <w:lang w:val="en-US" w:eastAsia="zh-CN"/>
        </w:rPr>
        <w:t>more deployment scenarios</w:t>
      </w:r>
      <w:r>
        <w:rPr>
          <w:rFonts w:eastAsia="宋体" w:hint="eastAsia"/>
          <w:sz w:val="21"/>
          <w:szCs w:val="21"/>
          <w:lang w:val="en-US" w:eastAsia="zh-CN"/>
        </w:rPr>
        <w:t xml:space="preserve"> e.g., non-standalone</w:t>
      </w:r>
      <w:r>
        <w:rPr>
          <w:rFonts w:eastAsia="宋体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 xml:space="preserve">scenario </w:t>
      </w:r>
      <w:r>
        <w:rPr>
          <w:rFonts w:eastAsia="宋体" w:hint="eastAsia"/>
          <w:sz w:val="21"/>
          <w:szCs w:val="21"/>
          <w:lang w:val="en-US" w:eastAsia="zh-CN"/>
        </w:rPr>
        <w:t>(CA or DC), standalone</w:t>
      </w:r>
      <w:r>
        <w:rPr>
          <w:rFonts w:eastAsia="宋体" w:hint="eastAsia"/>
          <w:sz w:val="21"/>
          <w:szCs w:val="21"/>
          <w:lang w:val="en-US" w:eastAsia="zh-CN"/>
        </w:rPr>
        <w:t xml:space="preserve"> scenario</w:t>
      </w:r>
      <w:r>
        <w:rPr>
          <w:rFonts w:eastAsia="宋体" w:hint="eastAsia"/>
          <w:sz w:val="21"/>
          <w:szCs w:val="21"/>
          <w:lang w:val="en-US" w:eastAsia="zh-CN"/>
        </w:rPr>
        <w:t xml:space="preserve">. </w:t>
      </w:r>
      <w:r>
        <w:rPr>
          <w:rFonts w:eastAsia="宋体" w:hint="eastAsia"/>
          <w:sz w:val="21"/>
          <w:szCs w:val="21"/>
          <w:lang w:val="en-US" w:eastAsia="zh-CN"/>
        </w:rPr>
        <w:t xml:space="preserve">Thus PRACH should be considered in NR-U. </w:t>
      </w:r>
    </w:p>
    <w:p w14:paraId="4146B906" w14:textId="77777777" w:rsidR="008206B0" w:rsidRDefault="001A61DA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sz w:val="21"/>
          <w:szCs w:val="21"/>
          <w:lang w:val="en-US"/>
        </w:rPr>
        <w:t xml:space="preserve">In </w:t>
      </w:r>
      <w:r>
        <w:rPr>
          <w:rFonts w:eastAsia="宋体"/>
          <w:sz w:val="21"/>
          <w:szCs w:val="21"/>
          <w:lang w:val="en-US" w:eastAsia="zh-CN"/>
        </w:rPr>
        <w:t>NR,</w:t>
      </w:r>
      <w:r>
        <w:rPr>
          <w:sz w:val="21"/>
          <w:szCs w:val="21"/>
          <w:lang w:val="en-US"/>
        </w:rPr>
        <w:t xml:space="preserve"> two types of RA procedure are </w:t>
      </w:r>
      <w:r>
        <w:rPr>
          <w:rFonts w:eastAsia="宋体"/>
          <w:sz w:val="21"/>
          <w:szCs w:val="21"/>
          <w:lang w:val="en-US" w:eastAsia="zh-CN"/>
        </w:rPr>
        <w:t>supported</w:t>
      </w:r>
      <w:r>
        <w:rPr>
          <w:sz w:val="21"/>
          <w:szCs w:val="21"/>
          <w:lang w:val="en-US"/>
        </w:rPr>
        <w:t xml:space="preserve">: </w:t>
      </w:r>
      <w:r>
        <w:rPr>
          <w:rFonts w:eastAsia="宋体"/>
          <w:sz w:val="21"/>
          <w:szCs w:val="21"/>
          <w:lang w:val="en-US" w:eastAsia="zh-CN"/>
        </w:rPr>
        <w:t>CBRA</w:t>
      </w:r>
      <w:r>
        <w:rPr>
          <w:rFonts w:eastAsia="宋体" w:hint="eastAsia"/>
          <w:sz w:val="21"/>
          <w:szCs w:val="21"/>
          <w:lang w:val="en-US" w:eastAsia="zh-CN"/>
        </w:rPr>
        <w:t xml:space="preserve"> (</w:t>
      </w:r>
      <w:r w:rsidRPr="007A5E1E">
        <w:rPr>
          <w:i/>
          <w:iCs/>
          <w:sz w:val="21"/>
          <w:szCs w:val="21"/>
          <w:lang w:val="en-US"/>
        </w:rPr>
        <w:t>contention-based</w:t>
      </w:r>
      <w:r w:rsidRPr="007A5E1E">
        <w:rPr>
          <w:rFonts w:eastAsia="宋体"/>
          <w:i/>
          <w:iCs/>
          <w:sz w:val="21"/>
          <w:szCs w:val="21"/>
          <w:lang w:val="en-US" w:eastAsia="zh-CN"/>
        </w:rPr>
        <w:t xml:space="preserve"> random access</w:t>
      </w:r>
      <w:r>
        <w:rPr>
          <w:rFonts w:eastAsia="宋体" w:hint="eastAsia"/>
          <w:sz w:val="21"/>
          <w:szCs w:val="21"/>
          <w:lang w:val="en-US" w:eastAsia="zh-CN"/>
        </w:rPr>
        <w:t>)</w:t>
      </w:r>
      <w:r>
        <w:rPr>
          <w:sz w:val="21"/>
          <w:szCs w:val="21"/>
          <w:lang w:val="en-US"/>
        </w:rPr>
        <w:t xml:space="preserve"> and </w:t>
      </w:r>
      <w:r>
        <w:rPr>
          <w:rFonts w:eastAsia="宋体" w:hint="eastAsia"/>
          <w:sz w:val="21"/>
          <w:szCs w:val="21"/>
          <w:lang w:val="en-US" w:eastAsia="zh-CN"/>
        </w:rPr>
        <w:t>CFRA (</w:t>
      </w:r>
      <w:r w:rsidRPr="007A5E1E">
        <w:rPr>
          <w:i/>
          <w:iCs/>
          <w:sz w:val="21"/>
          <w:szCs w:val="21"/>
          <w:lang w:val="en-US"/>
        </w:rPr>
        <w:t>contention-free</w:t>
      </w:r>
      <w:r w:rsidRPr="007A5E1E">
        <w:rPr>
          <w:rFonts w:eastAsia="宋体"/>
          <w:i/>
          <w:iCs/>
          <w:sz w:val="21"/>
          <w:szCs w:val="21"/>
          <w:lang w:val="en-US" w:eastAsia="zh-CN"/>
        </w:rPr>
        <w:t xml:space="preserve"> random access</w:t>
      </w:r>
      <w:r>
        <w:rPr>
          <w:rFonts w:eastAsia="宋体"/>
          <w:sz w:val="21"/>
          <w:szCs w:val="21"/>
          <w:lang w:val="en-US" w:eastAsia="zh-CN"/>
        </w:rPr>
        <w:t>)</w:t>
      </w:r>
      <w:r>
        <w:rPr>
          <w:rFonts w:eastAsia="宋体" w:hint="eastAsia"/>
          <w:sz w:val="21"/>
          <w:szCs w:val="21"/>
          <w:lang w:val="en-US" w:eastAsia="zh-CN"/>
        </w:rPr>
        <w:t xml:space="preserve">. </w:t>
      </w:r>
      <w:r w:rsidRPr="007A5E1E">
        <w:rPr>
          <w:rFonts w:eastAsia="宋体"/>
          <w:sz w:val="21"/>
          <w:szCs w:val="21"/>
          <w:lang w:val="en-US" w:eastAsia="zh-CN"/>
        </w:rPr>
        <w:t xml:space="preserve">For </w:t>
      </w:r>
      <w:r>
        <w:rPr>
          <w:rFonts w:eastAsia="宋体"/>
          <w:sz w:val="21"/>
          <w:szCs w:val="21"/>
          <w:lang w:val="en-US" w:eastAsia="zh-CN"/>
        </w:rPr>
        <w:t xml:space="preserve">NR-U </w:t>
      </w:r>
      <w:r w:rsidR="00AC531F">
        <w:rPr>
          <w:rFonts w:eastAsia="宋体"/>
          <w:sz w:val="21"/>
          <w:szCs w:val="21"/>
          <w:lang w:val="en-US" w:eastAsia="zh-CN"/>
        </w:rPr>
        <w:t xml:space="preserve">SA </w:t>
      </w:r>
      <w:r>
        <w:rPr>
          <w:rFonts w:eastAsia="宋体"/>
          <w:sz w:val="21"/>
          <w:szCs w:val="21"/>
          <w:lang w:val="en-US" w:eastAsia="zh-CN"/>
        </w:rPr>
        <w:t>scenario</w:t>
      </w:r>
      <w:r>
        <w:rPr>
          <w:rFonts w:eastAsia="宋体"/>
          <w:sz w:val="21"/>
          <w:szCs w:val="21"/>
          <w:lang w:val="en-US" w:eastAsia="zh-CN"/>
        </w:rPr>
        <w:t xml:space="preserve">, </w:t>
      </w:r>
      <w:r>
        <w:rPr>
          <w:rFonts w:eastAsia="宋体"/>
          <w:sz w:val="21"/>
          <w:szCs w:val="21"/>
          <w:lang w:val="en-US" w:eastAsia="zh-CN"/>
        </w:rPr>
        <w:t>CBRA</w:t>
      </w:r>
      <w:r>
        <w:rPr>
          <w:rFonts w:eastAsia="宋体" w:hint="eastAsia"/>
          <w:sz w:val="21"/>
          <w:szCs w:val="21"/>
          <w:lang w:val="en-US" w:eastAsia="zh-CN"/>
        </w:rPr>
        <w:t xml:space="preserve">-based </w:t>
      </w:r>
      <w:r>
        <w:rPr>
          <w:rFonts w:eastAsia="宋体"/>
          <w:sz w:val="21"/>
          <w:szCs w:val="21"/>
          <w:lang w:val="en-US" w:eastAsia="zh-CN"/>
        </w:rPr>
        <w:t xml:space="preserve">initial access </w:t>
      </w:r>
      <w:r>
        <w:rPr>
          <w:rFonts w:eastAsia="宋体" w:hint="eastAsia"/>
          <w:sz w:val="21"/>
          <w:szCs w:val="21"/>
          <w:lang w:val="en-US" w:eastAsia="zh-CN"/>
        </w:rPr>
        <w:t xml:space="preserve">procedure </w:t>
      </w:r>
      <w:r>
        <w:rPr>
          <w:rFonts w:eastAsia="宋体"/>
          <w:sz w:val="21"/>
          <w:szCs w:val="21"/>
          <w:lang w:val="en-US" w:eastAsia="zh-CN"/>
        </w:rPr>
        <w:t xml:space="preserve">through </w:t>
      </w:r>
      <w:r>
        <w:rPr>
          <w:rFonts w:eastAsia="宋体" w:hint="eastAsia"/>
          <w:sz w:val="21"/>
          <w:szCs w:val="21"/>
          <w:lang w:val="en-US" w:eastAsia="zh-CN"/>
        </w:rPr>
        <w:t xml:space="preserve">an </w:t>
      </w:r>
      <w:r>
        <w:rPr>
          <w:rFonts w:eastAsia="宋体"/>
          <w:sz w:val="21"/>
          <w:szCs w:val="21"/>
          <w:lang w:val="en-US" w:eastAsia="zh-CN"/>
        </w:rPr>
        <w:t xml:space="preserve">unlicensed </w:t>
      </w:r>
      <w:r>
        <w:rPr>
          <w:rFonts w:eastAsia="宋体" w:hint="eastAsia"/>
          <w:sz w:val="21"/>
          <w:szCs w:val="21"/>
          <w:lang w:val="en-US" w:eastAsia="zh-CN"/>
        </w:rPr>
        <w:t>carrier is needed</w:t>
      </w:r>
      <w:r>
        <w:rPr>
          <w:rFonts w:eastAsia="宋体"/>
          <w:sz w:val="21"/>
          <w:szCs w:val="21"/>
          <w:lang w:val="en-US" w:eastAsia="zh-CN"/>
        </w:rPr>
        <w:t xml:space="preserve">. Meanwhile, </w:t>
      </w:r>
      <w:r>
        <w:rPr>
          <w:rFonts w:eastAsia="宋体"/>
          <w:sz w:val="21"/>
          <w:szCs w:val="21"/>
          <w:lang w:val="en-US" w:eastAsia="zh-CN"/>
        </w:rPr>
        <w:t xml:space="preserve">CFRA </w:t>
      </w:r>
      <w:r>
        <w:rPr>
          <w:rFonts w:eastAsia="宋体"/>
          <w:sz w:val="21"/>
          <w:szCs w:val="21"/>
          <w:lang w:val="en-US" w:eastAsia="zh-CN"/>
        </w:rPr>
        <w:t xml:space="preserve">procedure </w:t>
      </w:r>
      <w:r>
        <w:rPr>
          <w:rFonts w:eastAsia="宋体"/>
          <w:sz w:val="21"/>
          <w:szCs w:val="21"/>
          <w:lang w:val="en-US" w:eastAsia="zh-CN"/>
        </w:rPr>
        <w:t>is</w:t>
      </w:r>
      <w:r>
        <w:rPr>
          <w:rFonts w:eastAsia="宋体"/>
          <w:sz w:val="21"/>
          <w:szCs w:val="21"/>
          <w:lang w:val="en-US" w:eastAsia="zh-CN"/>
        </w:rPr>
        <w:t xml:space="preserve"> also</w:t>
      </w:r>
      <w:r>
        <w:rPr>
          <w:rFonts w:eastAsia="宋体"/>
          <w:sz w:val="21"/>
          <w:szCs w:val="21"/>
          <w:lang w:val="en-US" w:eastAsia="zh-CN"/>
        </w:rPr>
        <w:t xml:space="preserve"> useful for </w:t>
      </w:r>
      <w:r>
        <w:rPr>
          <w:rFonts w:eastAsia="宋体" w:hint="eastAsia"/>
          <w:sz w:val="21"/>
          <w:szCs w:val="21"/>
          <w:lang w:val="en-US" w:eastAsia="zh-CN"/>
        </w:rPr>
        <w:t xml:space="preserve">cases </w:t>
      </w:r>
      <w:r>
        <w:rPr>
          <w:rFonts w:eastAsia="宋体"/>
          <w:sz w:val="21"/>
          <w:szCs w:val="21"/>
          <w:lang w:val="en-US" w:eastAsia="zh-CN"/>
        </w:rPr>
        <w:t>such as handover</w:t>
      </w:r>
      <w:r>
        <w:rPr>
          <w:rFonts w:eastAsia="宋体" w:hint="eastAsia"/>
          <w:sz w:val="21"/>
          <w:szCs w:val="21"/>
          <w:lang w:val="en-US" w:eastAsia="zh-CN"/>
        </w:rPr>
        <w:t xml:space="preserve"> with low late</w:t>
      </w:r>
      <w:r>
        <w:rPr>
          <w:rFonts w:eastAsia="宋体" w:hint="eastAsia"/>
          <w:sz w:val="21"/>
          <w:szCs w:val="21"/>
          <w:lang w:val="en-US" w:eastAsia="zh-CN"/>
        </w:rPr>
        <w:t>ncy requirement</w:t>
      </w:r>
      <w:r>
        <w:rPr>
          <w:rFonts w:eastAsia="宋体"/>
          <w:sz w:val="21"/>
          <w:szCs w:val="21"/>
          <w:lang w:val="en-US" w:eastAsia="zh-CN"/>
        </w:rPr>
        <w:t>. In addition,</w:t>
      </w:r>
      <w:r>
        <w:rPr>
          <w:rFonts w:eastAsia="宋体"/>
          <w:sz w:val="21"/>
          <w:szCs w:val="21"/>
          <w:lang w:val="en-US" w:eastAsia="zh-CN"/>
        </w:rPr>
        <w:t xml:space="preserve"> </w:t>
      </w:r>
      <w:r>
        <w:rPr>
          <w:rFonts w:eastAsia="宋体"/>
          <w:sz w:val="21"/>
          <w:szCs w:val="21"/>
          <w:lang w:val="en-US" w:eastAsia="zh-CN"/>
        </w:rPr>
        <w:t xml:space="preserve">CFRA </w:t>
      </w:r>
      <w:r>
        <w:rPr>
          <w:rFonts w:eastAsia="宋体"/>
          <w:sz w:val="21"/>
          <w:szCs w:val="21"/>
          <w:lang w:val="en-US" w:eastAsia="zh-CN"/>
        </w:rPr>
        <w:t xml:space="preserve">procedure </w:t>
      </w:r>
      <w:r>
        <w:rPr>
          <w:rFonts w:eastAsia="宋体"/>
          <w:sz w:val="21"/>
          <w:szCs w:val="21"/>
          <w:lang w:val="en-US" w:eastAsia="zh-CN"/>
        </w:rPr>
        <w:t>can also be used to obtain</w:t>
      </w:r>
      <w:r>
        <w:rPr>
          <w:sz w:val="21"/>
          <w:szCs w:val="21"/>
          <w:lang w:eastAsia="ja-JP"/>
        </w:rPr>
        <w:t xml:space="preserve"> timing advance alignment </w:t>
      </w:r>
      <w:r>
        <w:rPr>
          <w:rFonts w:eastAsia="宋体" w:hint="eastAsia"/>
          <w:sz w:val="21"/>
          <w:szCs w:val="21"/>
          <w:lang w:val="en-US" w:eastAsia="zh-CN"/>
        </w:rPr>
        <w:t xml:space="preserve">in </w:t>
      </w:r>
      <w:r>
        <w:rPr>
          <w:sz w:val="21"/>
          <w:szCs w:val="21"/>
          <w:lang w:eastAsia="ja-JP"/>
        </w:rPr>
        <w:t>CA and DC deployment</w:t>
      </w:r>
      <w:r>
        <w:rPr>
          <w:rFonts w:eastAsia="宋体" w:hint="eastAsia"/>
          <w:sz w:val="21"/>
          <w:szCs w:val="21"/>
          <w:lang w:val="en-US" w:eastAsia="zh-CN"/>
        </w:rPr>
        <w:t xml:space="preserve"> scenario</w:t>
      </w:r>
      <w:r>
        <w:rPr>
          <w:rFonts w:eastAsia="宋体"/>
          <w:sz w:val="21"/>
          <w:szCs w:val="21"/>
          <w:lang w:val="en-US" w:eastAsia="zh-CN"/>
        </w:rPr>
        <w:t>. Therefore, both CBRA and CFRA</w:t>
      </w:r>
      <w:r>
        <w:rPr>
          <w:rFonts w:eastAsia="宋体"/>
          <w:sz w:val="21"/>
          <w:szCs w:val="21"/>
          <w:lang w:val="en-US" w:eastAsia="zh-CN"/>
        </w:rPr>
        <w:t xml:space="preserve"> procedure</w:t>
      </w:r>
      <w:r>
        <w:rPr>
          <w:rFonts w:eastAsia="宋体"/>
          <w:sz w:val="21"/>
          <w:szCs w:val="21"/>
          <w:lang w:val="en-US" w:eastAsia="zh-CN"/>
        </w:rPr>
        <w:t xml:space="preserve"> should be supported in NR-U. </w:t>
      </w:r>
    </w:p>
    <w:p w14:paraId="424E5802" w14:textId="77777777" w:rsidR="006B7C1C" w:rsidRDefault="001A61DA" w:rsidP="006B7C1C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b/>
          <w:bCs/>
          <w:sz w:val="21"/>
          <w:szCs w:val="21"/>
          <w:lang w:val="en-US" w:eastAsia="zh-CN"/>
        </w:rPr>
        <w:t xml:space="preserve">Proposal 1: </w:t>
      </w:r>
      <w:r w:rsidR="006B7C1C">
        <w:rPr>
          <w:rFonts w:eastAsia="宋体" w:hint="eastAsia"/>
          <w:i/>
          <w:iCs/>
          <w:sz w:val="21"/>
          <w:szCs w:val="21"/>
          <w:lang w:val="en-US" w:eastAsia="zh-CN"/>
        </w:rPr>
        <w:t>NR-U should support both CFRA and CBRA procedure</w:t>
      </w:r>
      <w:r w:rsidR="006B7C1C">
        <w:rPr>
          <w:rFonts w:eastAsia="宋体"/>
          <w:i/>
          <w:iCs/>
          <w:sz w:val="21"/>
          <w:szCs w:val="21"/>
          <w:lang w:val="en-US" w:eastAsia="zh-CN"/>
        </w:rPr>
        <w:t xml:space="preserve"> to meet the requirement of flexible scenarios</w:t>
      </w:r>
      <w:r w:rsidR="006B7C1C">
        <w:rPr>
          <w:rFonts w:eastAsia="宋体" w:hint="eastAsia"/>
          <w:i/>
          <w:iCs/>
          <w:sz w:val="21"/>
          <w:szCs w:val="21"/>
          <w:lang w:val="en-US" w:eastAsia="zh-CN"/>
        </w:rPr>
        <w:t>.</w:t>
      </w:r>
    </w:p>
    <w:p w14:paraId="79ED385C" w14:textId="77777777" w:rsidR="008206B0" w:rsidRDefault="001A61DA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Considering LBT requirement in unlicensed carrier, the 4-step PRACH procedure needs to succeed in at least four LBTs before each message can be transmitted, and </w:t>
      </w:r>
      <w:r w:rsidR="00974E33">
        <w:rPr>
          <w:rFonts w:eastAsia="宋体"/>
          <w:sz w:val="21"/>
          <w:szCs w:val="21"/>
          <w:lang w:val="en-US" w:eastAsia="zh-CN"/>
        </w:rPr>
        <w:t xml:space="preserve">any LBT </w:t>
      </w:r>
      <w:r>
        <w:rPr>
          <w:rFonts w:eastAsia="宋体" w:hint="eastAsia"/>
          <w:sz w:val="21"/>
          <w:szCs w:val="21"/>
          <w:lang w:val="en-US" w:eastAsia="zh-CN"/>
        </w:rPr>
        <w:t>failure</w:t>
      </w:r>
      <w:r>
        <w:rPr>
          <w:rFonts w:eastAsia="宋体" w:hint="eastAsia"/>
          <w:sz w:val="21"/>
          <w:szCs w:val="21"/>
          <w:lang w:val="en-US" w:eastAsia="zh-CN"/>
        </w:rPr>
        <w:t xml:space="preserve"> can lead to a signif</w:t>
      </w:r>
      <w:r>
        <w:rPr>
          <w:rFonts w:eastAsia="宋体" w:hint="eastAsia"/>
          <w:sz w:val="21"/>
          <w:szCs w:val="21"/>
          <w:lang w:val="en-US" w:eastAsia="zh-CN"/>
        </w:rPr>
        <w:t>icant</w:t>
      </w:r>
      <w:r w:rsidR="00974E33">
        <w:rPr>
          <w:rFonts w:eastAsia="宋体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 xml:space="preserve">random access delay and resource overhead. </w:t>
      </w:r>
      <w:r w:rsidR="002917A5">
        <w:rPr>
          <w:rFonts w:eastAsia="宋体"/>
          <w:sz w:val="21"/>
          <w:szCs w:val="21"/>
          <w:lang w:val="en-US" w:eastAsia="zh-CN"/>
        </w:rPr>
        <w:t xml:space="preserve">Therefore </w:t>
      </w:r>
      <w:r>
        <w:rPr>
          <w:rFonts w:eastAsia="宋体" w:hint="eastAsia"/>
          <w:sz w:val="21"/>
          <w:szCs w:val="21"/>
          <w:lang w:val="en-US" w:eastAsia="zh-CN"/>
        </w:rPr>
        <w:t>some enhancement for PRACH procedure can be considered, e.g., simplified PRACH procedure such as 2-step PRACH procedure.</w:t>
      </w:r>
    </w:p>
    <w:p w14:paraId="1C982CB7" w14:textId="77777777" w:rsidR="008206B0" w:rsidRDefault="001A61DA">
      <w:pPr>
        <w:jc w:val="both"/>
        <w:rPr>
          <w:rFonts w:eastAsia="宋体"/>
          <w:b/>
          <w:bCs/>
          <w:sz w:val="21"/>
          <w:szCs w:val="21"/>
          <w:lang w:val="en-US" w:eastAsia="zh-CN"/>
        </w:rPr>
      </w:pPr>
      <w:r>
        <w:rPr>
          <w:rFonts w:eastAsia="宋体" w:hint="eastAsia"/>
          <w:b/>
          <w:bCs/>
          <w:sz w:val="21"/>
          <w:szCs w:val="21"/>
          <w:lang w:val="en-US" w:eastAsia="zh-CN"/>
        </w:rPr>
        <w:t xml:space="preserve">Proposal 2: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Some enhancements for PRACH procedure can be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considered, e.g., simplified PRACH procedure such as 2-step PRACH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.</w:t>
      </w:r>
    </w:p>
    <w:p w14:paraId="14F835BC" w14:textId="77777777" w:rsidR="008206B0" w:rsidRDefault="002917A5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/>
          <w:sz w:val="21"/>
          <w:szCs w:val="21"/>
          <w:lang w:val="en-US" w:eastAsia="zh-CN"/>
        </w:rPr>
        <w:t>I</w:t>
      </w:r>
      <w:r w:rsidR="001A61DA">
        <w:rPr>
          <w:rFonts w:eastAsia="宋体" w:hint="eastAsia"/>
          <w:sz w:val="21"/>
          <w:szCs w:val="21"/>
          <w:lang w:val="en-US" w:eastAsia="zh-CN"/>
        </w:rPr>
        <w:t xml:space="preserve">n order to </w:t>
      </w:r>
      <w:r>
        <w:rPr>
          <w:rFonts w:eastAsia="宋体"/>
          <w:sz w:val="21"/>
          <w:szCs w:val="21"/>
          <w:lang w:val="en-US" w:eastAsia="zh-CN"/>
        </w:rPr>
        <w:t xml:space="preserve"> reduce</w:t>
      </w:r>
      <w:r w:rsidR="001A61DA">
        <w:rPr>
          <w:rFonts w:eastAsia="宋体" w:hint="eastAsia"/>
          <w:sz w:val="21"/>
          <w:szCs w:val="21"/>
          <w:lang w:val="en-US" w:eastAsia="zh-CN"/>
        </w:rPr>
        <w:t xml:space="preserve"> LBT overhead </w:t>
      </w:r>
      <w:r w:rsidR="001A61DA">
        <w:rPr>
          <w:rFonts w:eastAsia="宋体" w:hint="eastAsia"/>
          <w:sz w:val="21"/>
          <w:szCs w:val="21"/>
          <w:lang w:val="en-US" w:eastAsia="zh-CN"/>
        </w:rPr>
        <w:t>a</w:t>
      </w:r>
      <w:r w:rsidR="001A61DA">
        <w:rPr>
          <w:rFonts w:eastAsia="宋体" w:hint="eastAsia"/>
          <w:sz w:val="21"/>
          <w:szCs w:val="21"/>
          <w:lang w:val="en-US" w:eastAsia="zh-CN"/>
        </w:rPr>
        <w:t>n</w:t>
      </w:r>
      <w:r w:rsidR="001A61DA">
        <w:rPr>
          <w:rFonts w:eastAsia="宋体" w:hint="eastAsia"/>
          <w:sz w:val="21"/>
          <w:szCs w:val="21"/>
          <w:lang w:val="en-US" w:eastAsia="zh-CN"/>
        </w:rPr>
        <w:t xml:space="preserve">d </w:t>
      </w:r>
      <w:r w:rsidR="001A61DA">
        <w:rPr>
          <w:rFonts w:eastAsia="宋体" w:hint="eastAsia"/>
          <w:sz w:val="21"/>
          <w:szCs w:val="21"/>
          <w:lang w:val="en-US" w:eastAsia="zh-CN"/>
        </w:rPr>
        <w:t xml:space="preserve"> latency in unlicensed operation</w:t>
      </w:r>
      <w:r>
        <w:rPr>
          <w:rFonts w:eastAsia="宋体"/>
          <w:sz w:val="21"/>
          <w:szCs w:val="21"/>
          <w:lang w:val="en-US" w:eastAsia="zh-CN"/>
        </w:rPr>
        <w:t>,</w:t>
      </w:r>
      <w:r w:rsidR="001A61DA">
        <w:rPr>
          <w:rFonts w:eastAsia="宋体" w:hint="eastAsia"/>
          <w:sz w:val="21"/>
          <w:szCs w:val="21"/>
          <w:lang w:val="en-US" w:eastAsia="zh-CN"/>
        </w:rPr>
        <w:t xml:space="preserve"> </w:t>
      </w:r>
      <w:r>
        <w:rPr>
          <w:rFonts w:eastAsia="宋体"/>
          <w:sz w:val="21"/>
          <w:szCs w:val="21"/>
          <w:lang w:val="en-US" w:eastAsia="zh-CN"/>
        </w:rPr>
        <w:t>s</w:t>
      </w:r>
      <w:r w:rsidR="001A61DA">
        <w:rPr>
          <w:rFonts w:eastAsia="宋体" w:hint="eastAsia"/>
          <w:sz w:val="21"/>
          <w:szCs w:val="21"/>
          <w:lang w:val="en-US" w:eastAsia="zh-CN"/>
        </w:rPr>
        <w:t xml:space="preserve">ome </w:t>
      </w:r>
      <w:r w:rsidR="001A61DA">
        <w:rPr>
          <w:rFonts w:eastAsia="宋体"/>
          <w:sz w:val="21"/>
          <w:szCs w:val="21"/>
          <w:lang w:val="en-US" w:eastAsia="zh-CN"/>
        </w:rPr>
        <w:t xml:space="preserve">messages </w:t>
      </w:r>
      <w:r w:rsidR="001A61DA">
        <w:rPr>
          <w:rFonts w:eastAsia="宋体" w:hint="eastAsia"/>
          <w:sz w:val="21"/>
          <w:szCs w:val="21"/>
          <w:lang w:val="en-US" w:eastAsia="zh-CN"/>
        </w:rPr>
        <w:t xml:space="preserve">of PRACH procedure can be considered to be transmitted </w:t>
      </w:r>
      <w:r w:rsidR="001A61DA">
        <w:rPr>
          <w:rFonts w:eastAsia="宋体"/>
          <w:sz w:val="21"/>
          <w:szCs w:val="21"/>
          <w:lang w:val="en-US" w:eastAsia="zh-CN"/>
        </w:rPr>
        <w:t>o</w:t>
      </w:r>
      <w:r w:rsidR="001A61DA">
        <w:rPr>
          <w:rFonts w:eastAsia="宋体" w:hint="eastAsia"/>
          <w:sz w:val="21"/>
          <w:szCs w:val="21"/>
          <w:lang w:val="en-US" w:eastAsia="zh-CN"/>
        </w:rPr>
        <w:t>n different carriers</w:t>
      </w:r>
      <w:r w:rsidR="001A61DA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1A61DA">
        <w:rPr>
          <w:rFonts w:eastAsia="宋体" w:hint="eastAsia"/>
          <w:sz w:val="21"/>
          <w:szCs w:val="21"/>
          <w:lang w:val="en-US" w:eastAsia="zh-CN"/>
        </w:rPr>
        <w:t xml:space="preserve"> different subbands/BWPs with </w:t>
      </w:r>
      <w:r w:rsidR="001A61DA">
        <w:rPr>
          <w:lang w:val="en-US"/>
        </w:rPr>
        <w:t>operating bandwidth</w:t>
      </w:r>
      <w:r w:rsidR="001A61DA">
        <w:rPr>
          <w:rFonts w:eastAsia="宋体" w:hint="eastAsia"/>
          <w:lang w:val="en-US" w:eastAsia="zh-CN"/>
        </w:rPr>
        <w:t>s</w:t>
      </w:r>
      <w:r w:rsidR="001A61DA">
        <w:rPr>
          <w:lang w:val="en-US"/>
        </w:rPr>
        <w:t xml:space="preserve"> </w:t>
      </w:r>
      <w:r w:rsidR="001A61DA">
        <w:rPr>
          <w:rFonts w:eastAsia="宋体" w:hint="eastAsia"/>
          <w:lang w:val="en-US" w:eastAsia="zh-CN"/>
        </w:rPr>
        <w:t xml:space="preserve">of </w:t>
      </w:r>
      <w:r w:rsidR="001A61DA">
        <w:rPr>
          <w:lang w:val="en-US"/>
        </w:rPr>
        <w:t>an integer multiple of 20MHz</w:t>
      </w:r>
      <w:r w:rsidR="001A61DA">
        <w:rPr>
          <w:rFonts w:eastAsia="宋体" w:hint="eastAsia"/>
          <w:sz w:val="21"/>
          <w:szCs w:val="21"/>
          <w:lang w:val="en-US" w:eastAsia="zh-CN"/>
        </w:rPr>
        <w:t xml:space="preserve">. </w:t>
      </w:r>
      <w:r w:rsidR="001A61DA">
        <w:rPr>
          <w:rFonts w:eastAsia="宋体"/>
          <w:sz w:val="21"/>
          <w:szCs w:val="21"/>
          <w:lang w:val="en-US" w:eastAsia="zh-CN"/>
        </w:rPr>
        <w:t>Alternatively,</w:t>
      </w:r>
      <w:r w:rsidR="001A61DA">
        <w:rPr>
          <w:rFonts w:eastAsia="宋体" w:hint="eastAsia"/>
          <w:sz w:val="21"/>
          <w:szCs w:val="21"/>
          <w:lang w:val="en-US" w:eastAsia="zh-CN"/>
        </w:rPr>
        <w:t xml:space="preserve"> simplified LBT mechanism, e.g., Cat-2 LBT</w:t>
      </w:r>
      <w:r w:rsidR="001A61DA">
        <w:rPr>
          <w:rFonts w:eastAsia="宋体"/>
          <w:sz w:val="21"/>
          <w:szCs w:val="21"/>
          <w:lang w:val="en-US" w:eastAsia="zh-CN"/>
        </w:rPr>
        <w:t xml:space="preserve"> should be considered</w:t>
      </w:r>
      <w:r w:rsidR="001A61DA">
        <w:rPr>
          <w:rFonts w:eastAsia="宋体" w:hint="eastAsia"/>
          <w:sz w:val="21"/>
          <w:szCs w:val="21"/>
          <w:lang w:val="en-US" w:eastAsia="zh-CN"/>
        </w:rPr>
        <w:t>.</w:t>
      </w:r>
    </w:p>
    <w:p w14:paraId="11322B31" w14:textId="77777777" w:rsidR="008206B0" w:rsidRDefault="001A61DA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b/>
          <w:bCs/>
          <w:sz w:val="21"/>
          <w:szCs w:val="21"/>
          <w:lang w:val="en-US" w:eastAsia="zh-CN"/>
        </w:rPr>
        <w:t xml:space="preserve">Proposal 3: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A simplified LBT mechanism for random access should be considered, e.g., Cat-2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 LBT.</w:t>
      </w:r>
    </w:p>
    <w:p w14:paraId="4CAFABA0" w14:textId="0EB44633" w:rsidR="008206B0" w:rsidRDefault="001A61DA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>Furthermore, the OCB (</w:t>
      </w:r>
      <w:r w:rsidRPr="007A5E1E">
        <w:rPr>
          <w:rFonts w:eastAsia="宋体"/>
          <w:i/>
          <w:iCs/>
          <w:sz w:val="21"/>
          <w:szCs w:val="21"/>
          <w:lang w:val="en-US" w:eastAsia="zh-CN"/>
        </w:rPr>
        <w:t>occupied channel bandwidth</w:t>
      </w:r>
      <w:r>
        <w:rPr>
          <w:rFonts w:eastAsia="宋体" w:hint="eastAsia"/>
          <w:sz w:val="21"/>
          <w:szCs w:val="21"/>
          <w:lang w:val="en-US" w:eastAsia="zh-CN"/>
        </w:rPr>
        <w:t xml:space="preserve">) regulation for RACH </w:t>
      </w:r>
      <w:r>
        <w:rPr>
          <w:rFonts w:eastAsia="宋体" w:hint="eastAsia"/>
          <w:sz w:val="21"/>
          <w:szCs w:val="21"/>
          <w:lang w:val="en-US" w:eastAsia="zh-CN"/>
        </w:rPr>
        <w:t>p</w:t>
      </w:r>
      <w:r>
        <w:rPr>
          <w:rFonts w:eastAsia="宋体" w:hint="eastAsia"/>
          <w:sz w:val="21"/>
          <w:szCs w:val="21"/>
          <w:lang w:val="en-US" w:eastAsia="zh-CN"/>
        </w:rPr>
        <w:t xml:space="preserve">reamble also </w:t>
      </w:r>
      <w:r>
        <w:rPr>
          <w:rFonts w:eastAsia="宋体" w:hint="eastAsia"/>
          <w:sz w:val="21"/>
          <w:szCs w:val="21"/>
          <w:lang w:val="en-US" w:eastAsia="zh-CN"/>
        </w:rPr>
        <w:t>need</w:t>
      </w:r>
      <w:r w:rsidR="002917A5">
        <w:rPr>
          <w:rFonts w:eastAsia="宋体"/>
          <w:sz w:val="21"/>
          <w:szCs w:val="21"/>
          <w:lang w:val="en-US" w:eastAsia="zh-CN"/>
        </w:rPr>
        <w:t>s</w:t>
      </w:r>
      <w:r>
        <w:rPr>
          <w:rFonts w:eastAsia="宋体" w:hint="eastAsia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>to be satisfied.</w:t>
      </w:r>
      <w:r>
        <w:rPr>
          <w:rFonts w:eastAsia="宋体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 xml:space="preserve">In Rel-15, </w:t>
      </w:r>
      <w:r>
        <w:rPr>
          <w:rFonts w:eastAsia="宋体" w:hint="eastAsia"/>
          <w:sz w:val="21"/>
          <w:szCs w:val="21"/>
          <w:lang w:val="en-US" w:eastAsia="zh-CN"/>
        </w:rPr>
        <w:t xml:space="preserve">NR supports both long and short sequence RACH preambles. </w:t>
      </w:r>
      <w:r>
        <w:rPr>
          <w:rFonts w:eastAsia="宋体" w:hint="eastAsia"/>
          <w:sz w:val="21"/>
          <w:szCs w:val="21"/>
          <w:lang w:val="en-US" w:eastAsia="zh-CN"/>
        </w:rPr>
        <w:t xml:space="preserve">The length of </w:t>
      </w:r>
      <w:r>
        <w:rPr>
          <w:rFonts w:eastAsia="宋体" w:hint="eastAsia"/>
          <w:sz w:val="21"/>
          <w:szCs w:val="21"/>
          <w:lang w:val="en-US" w:eastAsia="zh-CN"/>
        </w:rPr>
        <w:t>l</w:t>
      </w:r>
      <w:r>
        <w:rPr>
          <w:rFonts w:eastAsia="宋体" w:hint="eastAsia"/>
          <w:sz w:val="21"/>
          <w:szCs w:val="21"/>
          <w:lang w:val="en-US" w:eastAsia="zh-CN"/>
        </w:rPr>
        <w:t xml:space="preserve">ong sequence is 839, while </w:t>
      </w:r>
      <w:r>
        <w:rPr>
          <w:rFonts w:eastAsia="宋体" w:hint="eastAsia"/>
          <w:sz w:val="21"/>
          <w:szCs w:val="21"/>
          <w:lang w:val="en-US" w:eastAsia="zh-CN"/>
        </w:rPr>
        <w:t xml:space="preserve">the length of </w:t>
      </w:r>
      <w:r>
        <w:rPr>
          <w:rFonts w:eastAsia="宋体" w:hint="eastAsia"/>
          <w:sz w:val="21"/>
          <w:szCs w:val="21"/>
          <w:lang w:val="en-US" w:eastAsia="zh-CN"/>
        </w:rPr>
        <w:t xml:space="preserve">short </w:t>
      </w:r>
      <w:r>
        <w:rPr>
          <w:rFonts w:eastAsia="宋体" w:hint="eastAsia"/>
          <w:sz w:val="21"/>
          <w:szCs w:val="21"/>
          <w:lang w:val="en-US" w:eastAsia="zh-CN"/>
        </w:rPr>
        <w:t xml:space="preserve">sequence is 139. Wherein, SCS supported for </w:t>
      </w:r>
      <w:r>
        <w:rPr>
          <w:rFonts w:eastAsia="宋体" w:hint="eastAsia"/>
          <w:sz w:val="21"/>
          <w:szCs w:val="21"/>
          <w:lang w:val="en-US" w:eastAsia="zh-CN"/>
        </w:rPr>
        <w:t>long sequence are 1.25</w:t>
      </w:r>
      <w:r>
        <w:rPr>
          <w:rFonts w:eastAsia="宋体"/>
          <w:sz w:val="21"/>
          <w:szCs w:val="21"/>
          <w:lang w:val="en-US" w:eastAsia="zh-CN"/>
        </w:rPr>
        <w:t xml:space="preserve"> K</w:t>
      </w:r>
      <w:r>
        <w:rPr>
          <w:rFonts w:eastAsia="宋体" w:hint="eastAsia"/>
          <w:sz w:val="21"/>
          <w:szCs w:val="21"/>
          <w:lang w:val="en-US" w:eastAsia="zh-CN"/>
        </w:rPr>
        <w:t>Hz and 5</w:t>
      </w:r>
      <w:r>
        <w:rPr>
          <w:rFonts w:eastAsia="宋体"/>
          <w:sz w:val="21"/>
          <w:szCs w:val="21"/>
          <w:lang w:val="en-US" w:eastAsia="zh-CN"/>
        </w:rPr>
        <w:t xml:space="preserve"> K</w:t>
      </w:r>
      <w:r>
        <w:rPr>
          <w:rFonts w:eastAsia="宋体" w:hint="eastAsia"/>
          <w:sz w:val="21"/>
          <w:szCs w:val="21"/>
          <w:lang w:val="en-US" w:eastAsia="zh-CN"/>
        </w:rPr>
        <w:t>Hz</w:t>
      </w:r>
      <w:r>
        <w:rPr>
          <w:rFonts w:eastAsia="宋体"/>
          <w:sz w:val="21"/>
          <w:szCs w:val="21"/>
          <w:lang w:val="en-US" w:eastAsia="zh-CN"/>
        </w:rPr>
        <w:t>;</w:t>
      </w:r>
      <w:r>
        <w:rPr>
          <w:rFonts w:eastAsia="宋体" w:hint="eastAsia"/>
          <w:sz w:val="21"/>
          <w:szCs w:val="21"/>
          <w:lang w:val="en-US" w:eastAsia="zh-CN"/>
        </w:rPr>
        <w:t xml:space="preserve"> SCS supported </w:t>
      </w:r>
      <w:r>
        <w:rPr>
          <w:rFonts w:eastAsia="宋体"/>
          <w:sz w:val="21"/>
          <w:szCs w:val="21"/>
          <w:lang w:val="en-US" w:eastAsia="zh-CN"/>
        </w:rPr>
        <w:t xml:space="preserve">for </w:t>
      </w:r>
      <w:r>
        <w:rPr>
          <w:rFonts w:eastAsia="宋体" w:hint="eastAsia"/>
          <w:sz w:val="21"/>
          <w:szCs w:val="21"/>
          <w:lang w:val="en-US" w:eastAsia="zh-CN"/>
        </w:rPr>
        <w:t>short sequence are 15</w:t>
      </w:r>
      <w:r>
        <w:rPr>
          <w:rFonts w:eastAsia="宋体"/>
          <w:sz w:val="21"/>
          <w:szCs w:val="21"/>
          <w:lang w:val="en-US" w:eastAsia="zh-CN"/>
        </w:rPr>
        <w:t xml:space="preserve"> K</w:t>
      </w:r>
      <w:r>
        <w:rPr>
          <w:rFonts w:eastAsia="宋体" w:hint="eastAsia"/>
          <w:sz w:val="21"/>
          <w:szCs w:val="21"/>
          <w:lang w:val="en-US" w:eastAsia="zh-CN"/>
        </w:rPr>
        <w:t>Hz and 30</w:t>
      </w:r>
      <w:r>
        <w:rPr>
          <w:rFonts w:eastAsia="宋体"/>
          <w:sz w:val="21"/>
          <w:szCs w:val="21"/>
          <w:lang w:val="en-US" w:eastAsia="zh-CN"/>
        </w:rPr>
        <w:t xml:space="preserve"> K</w:t>
      </w:r>
      <w:r>
        <w:rPr>
          <w:rFonts w:eastAsia="宋体" w:hint="eastAsia"/>
          <w:sz w:val="21"/>
          <w:szCs w:val="21"/>
          <w:lang w:val="en-US" w:eastAsia="zh-CN"/>
        </w:rPr>
        <w:t xml:space="preserve">Hz for below 6 GHz and 60 </w:t>
      </w:r>
      <w:r>
        <w:rPr>
          <w:rFonts w:eastAsia="宋体"/>
          <w:sz w:val="21"/>
          <w:szCs w:val="21"/>
          <w:lang w:val="en-US" w:eastAsia="zh-CN"/>
        </w:rPr>
        <w:t xml:space="preserve">KHz </w:t>
      </w:r>
      <w:r>
        <w:rPr>
          <w:rFonts w:eastAsia="宋体" w:hint="eastAsia"/>
          <w:sz w:val="21"/>
          <w:szCs w:val="21"/>
          <w:lang w:val="en-US" w:eastAsia="zh-CN"/>
        </w:rPr>
        <w:t xml:space="preserve">and 120 </w:t>
      </w:r>
      <w:r>
        <w:rPr>
          <w:rFonts w:eastAsia="宋体"/>
          <w:sz w:val="21"/>
          <w:szCs w:val="21"/>
          <w:lang w:val="en-US" w:eastAsia="zh-CN"/>
        </w:rPr>
        <w:t>K</w:t>
      </w:r>
      <w:r>
        <w:rPr>
          <w:rFonts w:eastAsia="宋体" w:hint="eastAsia"/>
          <w:sz w:val="21"/>
          <w:szCs w:val="21"/>
          <w:lang w:val="en-US" w:eastAsia="zh-CN"/>
        </w:rPr>
        <w:t xml:space="preserve">Hz for above 6 GHz. </w:t>
      </w:r>
      <w:r>
        <w:rPr>
          <w:rFonts w:eastAsia="宋体" w:hint="eastAsia"/>
          <w:sz w:val="21"/>
          <w:szCs w:val="21"/>
          <w:lang w:val="en-US" w:eastAsia="zh-CN"/>
        </w:rPr>
        <w:t xml:space="preserve">For instance, assumed </w:t>
      </w:r>
      <w:r w:rsidR="002917A5">
        <w:rPr>
          <w:rFonts w:eastAsia="宋体" w:hint="eastAsia"/>
          <w:sz w:val="21"/>
          <w:szCs w:val="21"/>
          <w:lang w:val="en-US" w:eastAsia="zh-CN"/>
        </w:rPr>
        <w:t>20MHz carrier bandwidth</w:t>
      </w:r>
      <w:r w:rsidR="002917A5" w:rsidDel="002917A5">
        <w:rPr>
          <w:rFonts w:eastAsia="宋体" w:hint="eastAsia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>below 6GHz frequency band</w:t>
      </w:r>
      <w:r>
        <w:rPr>
          <w:rFonts w:eastAsia="宋体" w:hint="eastAsia"/>
          <w:sz w:val="21"/>
          <w:szCs w:val="21"/>
          <w:lang w:val="en-US" w:eastAsia="zh-CN"/>
        </w:rPr>
        <w:t>, the occupied bandwidth with 15 and 30</w:t>
      </w:r>
      <w:r>
        <w:rPr>
          <w:rFonts w:eastAsia="宋体"/>
          <w:sz w:val="21"/>
          <w:szCs w:val="21"/>
          <w:lang w:val="en-US" w:eastAsia="zh-CN"/>
        </w:rPr>
        <w:t xml:space="preserve"> K</w:t>
      </w:r>
      <w:r>
        <w:rPr>
          <w:rFonts w:eastAsia="宋体" w:hint="eastAsia"/>
          <w:sz w:val="21"/>
          <w:szCs w:val="21"/>
          <w:lang w:val="en-US" w:eastAsia="zh-CN"/>
        </w:rPr>
        <w:t>Hz SCS</w:t>
      </w:r>
      <w:bookmarkStart w:id="5" w:name="OLE_LINK7"/>
      <w:bookmarkEnd w:id="5"/>
      <w:r>
        <w:rPr>
          <w:rFonts w:eastAsia="宋体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>are 2.16MHz and 4.32MHz</w:t>
      </w:r>
      <w:r>
        <w:rPr>
          <w:rFonts w:eastAsia="宋体" w:hint="eastAsia"/>
          <w:sz w:val="21"/>
          <w:szCs w:val="21"/>
          <w:lang w:val="en-US" w:eastAsia="zh-CN"/>
        </w:rPr>
        <w:t xml:space="preserve"> respectively,</w:t>
      </w:r>
      <w:r>
        <w:rPr>
          <w:rFonts w:eastAsia="宋体" w:hint="eastAsia"/>
          <w:sz w:val="21"/>
          <w:szCs w:val="21"/>
          <w:lang w:val="en-US" w:eastAsia="zh-CN"/>
        </w:rPr>
        <w:t xml:space="preserve"> which obviously do not fulfil the ETSI </w:t>
      </w:r>
      <w:r>
        <w:rPr>
          <w:rFonts w:eastAsia="宋体" w:hint="eastAsia"/>
          <w:sz w:val="21"/>
          <w:szCs w:val="21"/>
          <w:lang w:val="en-US" w:eastAsia="zh-CN"/>
        </w:rPr>
        <w:t>OCB</w:t>
      </w:r>
      <w:r>
        <w:rPr>
          <w:rFonts w:eastAsia="宋体" w:hint="eastAsia"/>
          <w:sz w:val="21"/>
          <w:szCs w:val="21"/>
          <w:lang w:val="en-US" w:eastAsia="zh-CN"/>
        </w:rPr>
        <w:t xml:space="preserve"> requirement as shown in Figure 1. Therefore, in order to meet the OCB requirement, some enhancement methods can be considered,</w:t>
      </w:r>
      <w:r>
        <w:rPr>
          <w:rFonts w:eastAsia="宋体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>e.g., frequency domain repetition of preamble, larger subcarrier intervals of preamble, RE/RB based resource allocation, etc.</w:t>
      </w:r>
    </w:p>
    <w:p w14:paraId="0A57F524" w14:textId="77777777" w:rsidR="008206B0" w:rsidRDefault="001A61DA">
      <w:pPr>
        <w:jc w:val="both"/>
        <w:rPr>
          <w:rFonts w:eastAsia="宋体"/>
          <w:i/>
          <w:iCs/>
          <w:sz w:val="21"/>
          <w:szCs w:val="21"/>
          <w:lang w:val="en-US" w:eastAsia="zh-CN"/>
        </w:rPr>
      </w:pPr>
      <w:r>
        <w:rPr>
          <w:rFonts w:eastAsia="宋体" w:hint="eastAsia"/>
          <w:b/>
          <w:bCs/>
          <w:sz w:val="21"/>
          <w:szCs w:val="21"/>
          <w:lang w:val="en-US" w:eastAsia="zh-CN"/>
        </w:rPr>
        <w:t>Pr</w:t>
      </w:r>
      <w:r>
        <w:rPr>
          <w:rFonts w:eastAsia="宋体" w:hint="eastAsia"/>
          <w:b/>
          <w:bCs/>
          <w:sz w:val="21"/>
          <w:szCs w:val="21"/>
          <w:lang w:val="en-US" w:eastAsia="zh-CN"/>
        </w:rPr>
        <w:t xml:space="preserve">oposal 4: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In order to meet the OCB requirement for RACH preamble, some enhancement</w:t>
      </w:r>
      <w:r w:rsidR="0094330F">
        <w:rPr>
          <w:rFonts w:eastAsia="宋体"/>
          <w:i/>
          <w:iCs/>
          <w:sz w:val="21"/>
          <w:szCs w:val="21"/>
          <w:lang w:val="en-US" w:eastAsia="zh-CN"/>
        </w:rPr>
        <w:t>s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 should be considered, e.g., frequency domain repetition of preamble, larger subcarrier intervals of preamble, RE/RB based resource allocation, etc.</w:t>
      </w:r>
    </w:p>
    <w:p w14:paraId="6B641BA6" w14:textId="77777777" w:rsidR="008206B0" w:rsidRDefault="008206B0">
      <w:pPr>
        <w:jc w:val="both"/>
        <w:rPr>
          <w:rFonts w:eastAsia="宋体"/>
          <w:sz w:val="21"/>
          <w:szCs w:val="21"/>
          <w:lang w:val="en-US" w:eastAsia="zh-CN"/>
        </w:rPr>
      </w:pPr>
    </w:p>
    <w:p w14:paraId="7A85AAA2" w14:textId="77777777" w:rsidR="008206B0" w:rsidRDefault="001A61DA">
      <w:pPr>
        <w:jc w:val="center"/>
        <w:rPr>
          <w:rFonts w:eastAsia="宋体"/>
          <w:sz w:val="21"/>
          <w:szCs w:val="21"/>
          <w:lang w:val="en-US" w:eastAsia="zh-CN"/>
        </w:rPr>
      </w:pPr>
      <w:r>
        <w:rPr>
          <w:noProof/>
          <w:sz w:val="21"/>
          <w:szCs w:val="21"/>
          <w:lang w:val="en-US" w:eastAsia="zh-CN"/>
        </w:rPr>
        <w:lastRenderedPageBreak/>
        <w:drawing>
          <wp:inline distT="0" distB="0" distL="114300" distR="114300" wp14:anchorId="3A46F860" wp14:editId="4FB35F81">
            <wp:extent cx="3253740" cy="2075815"/>
            <wp:effectExtent l="0" t="0" r="0" b="0"/>
            <wp:docPr id="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53740" cy="2075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4F00874" w14:textId="77777777" w:rsidR="008206B0" w:rsidRDefault="001A61DA">
      <w:pPr>
        <w:jc w:val="center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lang w:val="en-US" w:eastAsia="zh-CN"/>
        </w:rPr>
        <w:t>Figure 1. A</w:t>
      </w:r>
      <w:r>
        <w:rPr>
          <w:rFonts w:eastAsia="宋体"/>
          <w:lang w:val="en-US" w:eastAsia="zh-CN"/>
        </w:rPr>
        <w:t>n</w:t>
      </w:r>
      <w:r>
        <w:rPr>
          <w:rFonts w:eastAsia="宋体" w:hint="eastAsia"/>
          <w:lang w:val="en-US" w:eastAsia="zh-CN"/>
        </w:rPr>
        <w:t xml:space="preserve"> e</w:t>
      </w:r>
      <w:r>
        <w:rPr>
          <w:rFonts w:eastAsia="宋体" w:hint="eastAsia"/>
          <w:lang w:val="en-US" w:eastAsia="zh-CN"/>
        </w:rPr>
        <w:t>xample of preamble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s OCB </w:t>
      </w:r>
      <w:r>
        <w:rPr>
          <w:rFonts w:eastAsia="宋体"/>
          <w:lang w:val="en-US" w:eastAsia="zh-CN"/>
        </w:rPr>
        <w:t xml:space="preserve">not </w:t>
      </w:r>
      <w:r>
        <w:rPr>
          <w:rFonts w:eastAsia="宋体" w:hint="eastAsia"/>
          <w:lang w:val="en-US" w:eastAsia="zh-CN"/>
        </w:rPr>
        <w:t>satisf</w:t>
      </w:r>
      <w:r>
        <w:rPr>
          <w:rFonts w:eastAsia="宋体"/>
          <w:lang w:val="en-US" w:eastAsia="zh-CN"/>
        </w:rPr>
        <w:t>ying</w:t>
      </w:r>
      <w:r>
        <w:rPr>
          <w:rFonts w:eastAsia="宋体" w:hint="eastAsia"/>
          <w:lang w:val="en-US" w:eastAsia="zh-CN"/>
        </w:rPr>
        <w:t xml:space="preserve"> regulatory requirement</w:t>
      </w:r>
    </w:p>
    <w:p w14:paraId="378130DE" w14:textId="77777777" w:rsidR="008206B0" w:rsidRDefault="001A61DA">
      <w:pPr>
        <w:pStyle w:val="2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 xml:space="preserve"> PUSCH/PUCCH</w:t>
      </w:r>
    </w:p>
    <w:p w14:paraId="723C8FAF" w14:textId="7C09146B" w:rsidR="008206B0" w:rsidRDefault="001A61DA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/>
          <w:sz w:val="21"/>
          <w:szCs w:val="21"/>
          <w:lang w:val="en-US" w:eastAsia="zh-CN"/>
        </w:rPr>
        <w:t>As NR support non-slot based scheduling and the PUSCH can start from any symbol and the duration can be from 1 to 14 symbols</w:t>
      </w:r>
      <w:r>
        <w:rPr>
          <w:rFonts w:eastAsia="宋体" w:hint="eastAsia"/>
          <w:sz w:val="21"/>
          <w:szCs w:val="21"/>
          <w:lang w:val="en-US" w:eastAsia="zh-CN"/>
        </w:rPr>
        <w:t xml:space="preserve">. </w:t>
      </w:r>
      <w:r>
        <w:rPr>
          <w:rFonts w:eastAsia="宋体" w:hint="eastAsia"/>
          <w:sz w:val="21"/>
          <w:szCs w:val="21"/>
          <w:lang w:val="en-US" w:eastAsia="zh-CN"/>
        </w:rPr>
        <w:t>RAN1 had also agreed NR-U supports both PDSCH/PUSCH mapping Type-A an</w:t>
      </w:r>
      <w:r>
        <w:rPr>
          <w:rFonts w:eastAsia="宋体" w:hint="eastAsia"/>
          <w:sz w:val="21"/>
          <w:szCs w:val="21"/>
          <w:lang w:val="en-US" w:eastAsia="zh-CN"/>
        </w:rPr>
        <w:t>d Type-B.</w:t>
      </w:r>
      <w:r>
        <w:rPr>
          <w:rFonts w:eastAsia="宋体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>T</w:t>
      </w:r>
      <w:r>
        <w:rPr>
          <w:rFonts w:eastAsia="宋体"/>
          <w:sz w:val="21"/>
          <w:szCs w:val="21"/>
          <w:lang w:val="en-US" w:eastAsia="zh-CN"/>
        </w:rPr>
        <w:t xml:space="preserve">herefore, the UE can transmit PUSCH from the nearest </w:t>
      </w:r>
      <w:r>
        <w:rPr>
          <w:rFonts w:eastAsia="宋体" w:hint="eastAsia"/>
          <w:sz w:val="21"/>
          <w:szCs w:val="21"/>
          <w:lang w:val="en-US" w:eastAsia="zh-CN"/>
        </w:rPr>
        <w:t xml:space="preserve">permitted </w:t>
      </w:r>
      <w:r>
        <w:rPr>
          <w:rFonts w:eastAsia="宋体"/>
          <w:sz w:val="21"/>
          <w:szCs w:val="21"/>
          <w:lang w:val="en-US" w:eastAsia="zh-CN"/>
        </w:rPr>
        <w:t xml:space="preserve">symbol after a successful channel access, then the resource utilization can be improved. </w:t>
      </w:r>
      <w:r w:rsidRPr="00330910">
        <w:rPr>
          <w:rFonts w:eastAsia="宋体"/>
          <w:sz w:val="21"/>
          <w:szCs w:val="21"/>
          <w:lang w:val="en-US" w:eastAsia="zh-CN"/>
        </w:rPr>
        <w:t>However, the start symbol is dynamically DCI indicated, this position may not well matched wi</w:t>
      </w:r>
      <w:r w:rsidRPr="00330910">
        <w:rPr>
          <w:rFonts w:eastAsia="宋体"/>
          <w:sz w:val="21"/>
          <w:szCs w:val="21"/>
          <w:lang w:val="en-US" w:eastAsia="zh-CN"/>
        </w:rPr>
        <w:t>th the nearest symbol w</w:t>
      </w:r>
      <w:r w:rsidR="00330910" w:rsidRPr="00330910">
        <w:rPr>
          <w:rFonts w:eastAsia="宋体"/>
          <w:sz w:val="21"/>
          <w:szCs w:val="21"/>
          <w:lang w:val="en-US" w:eastAsia="zh-CN"/>
        </w:rPr>
        <w:t>here UE LBT succeeds</w:t>
      </w:r>
      <w:r w:rsidRPr="00330910">
        <w:rPr>
          <w:rFonts w:eastAsia="宋体"/>
          <w:sz w:val="21"/>
          <w:szCs w:val="21"/>
          <w:lang w:val="en-US" w:eastAsia="zh-CN"/>
        </w:rPr>
        <w:t>. Some further study can be performed for slot-aggregation transmi</w:t>
      </w:r>
      <w:bookmarkStart w:id="6" w:name="_GoBack"/>
      <w:bookmarkEnd w:id="6"/>
      <w:r w:rsidRPr="00330910">
        <w:rPr>
          <w:rFonts w:eastAsia="宋体"/>
          <w:sz w:val="21"/>
          <w:szCs w:val="21"/>
          <w:lang w:val="en-US" w:eastAsia="zh-CN"/>
        </w:rPr>
        <w:t>ssion or multiple slot scheduling scheme simil</w:t>
      </w:r>
      <w:r>
        <w:rPr>
          <w:rFonts w:eastAsia="宋体"/>
          <w:sz w:val="21"/>
          <w:szCs w:val="21"/>
          <w:lang w:val="en-US" w:eastAsia="zh-CN"/>
        </w:rPr>
        <w:t xml:space="preserve">ar to LAA can be considered to improve the MCOT utilization efficiency. </w:t>
      </w:r>
    </w:p>
    <w:p w14:paraId="18612104" w14:textId="77777777" w:rsidR="008206B0" w:rsidRDefault="001A61DA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/>
          <w:sz w:val="21"/>
          <w:szCs w:val="21"/>
          <w:lang w:val="en-US" w:eastAsia="zh-CN"/>
        </w:rPr>
        <w:t xml:space="preserve">PUCCH/PUSCH transmission </w:t>
      </w:r>
      <w:r>
        <w:rPr>
          <w:rFonts w:eastAsia="宋体"/>
          <w:sz w:val="21"/>
          <w:szCs w:val="21"/>
          <w:lang w:val="en-US" w:eastAsia="zh-CN"/>
        </w:rPr>
        <w:t>should meet the OCB requirement. For example, the signal occupied bandwidth shall be at least 80% (5GHz) or 70% (60GHz) of the declared nominal channel bandwidth according to the European standard. In eLAA, for PUSCH, interlaced-RB allocation has been adop</w:t>
      </w:r>
      <w:r>
        <w:rPr>
          <w:rFonts w:eastAsia="宋体"/>
          <w:sz w:val="21"/>
          <w:szCs w:val="21"/>
          <w:lang w:val="en-US" w:eastAsia="zh-CN"/>
        </w:rPr>
        <w:t xml:space="preserve">ted to </w:t>
      </w:r>
      <w:r>
        <w:rPr>
          <w:rFonts w:eastAsia="宋体"/>
          <w:lang w:val="en-US" w:eastAsia="zh-CN"/>
        </w:rPr>
        <w:t>meet</w:t>
      </w:r>
      <w:r>
        <w:rPr>
          <w:rFonts w:eastAsia="宋体"/>
          <w:sz w:val="21"/>
          <w:szCs w:val="21"/>
          <w:lang w:val="en-US" w:eastAsia="zh-CN"/>
        </w:rPr>
        <w:t xml:space="preserve"> the OCB requirement but the PUCCH transmission on unlicensed bands had not been specified. Currently in NR, both short-duration PUCCH and long-duration PUCCH are supported to cater to different requirements of UCI payload and cell coverage. The</w:t>
      </w:r>
      <w:r>
        <w:rPr>
          <w:rFonts w:eastAsia="宋体"/>
          <w:sz w:val="21"/>
          <w:szCs w:val="21"/>
          <w:lang w:val="en-US" w:eastAsia="zh-CN"/>
        </w:rPr>
        <w:t xml:space="preserve">refore, </w:t>
      </w:r>
      <w:bookmarkStart w:id="7" w:name="OLE_LINK3"/>
      <w:r>
        <w:rPr>
          <w:rFonts w:eastAsia="宋体"/>
          <w:sz w:val="21"/>
          <w:szCs w:val="21"/>
          <w:lang w:val="en-US" w:eastAsia="zh-CN"/>
        </w:rPr>
        <w:t>both interlaced PUCCH</w:t>
      </w:r>
      <w:bookmarkEnd w:id="7"/>
      <w:r>
        <w:rPr>
          <w:rFonts w:eastAsia="宋体"/>
          <w:sz w:val="21"/>
          <w:szCs w:val="21"/>
          <w:lang w:val="en-US" w:eastAsia="zh-CN"/>
        </w:rPr>
        <w:t xml:space="preserve"> and interlaced PUSCH can be considered to </w:t>
      </w:r>
      <w:r>
        <w:rPr>
          <w:rFonts w:eastAsia="宋体"/>
          <w:lang w:val="en-US" w:eastAsia="zh-CN"/>
        </w:rPr>
        <w:t>meet</w:t>
      </w:r>
      <w:r>
        <w:rPr>
          <w:rFonts w:eastAsia="宋体"/>
          <w:sz w:val="21"/>
          <w:szCs w:val="21"/>
          <w:lang w:val="en-US" w:eastAsia="zh-CN"/>
        </w:rPr>
        <w:t xml:space="preserve"> occupied channel bandwidth requirement and further stud</w:t>
      </w:r>
      <w:r>
        <w:rPr>
          <w:rFonts w:eastAsia="宋体"/>
          <w:lang w:val="en-US" w:eastAsia="zh-CN"/>
        </w:rPr>
        <w:t>ies</w:t>
      </w:r>
      <w:r>
        <w:rPr>
          <w:rFonts w:eastAsia="宋体"/>
          <w:sz w:val="21"/>
          <w:szCs w:val="21"/>
          <w:lang w:val="en-US" w:eastAsia="zh-CN"/>
        </w:rPr>
        <w:t xml:space="preserve"> should be performed for UL DFT-OFDM waveform. Meanwhile, if NR-U adopt</w:t>
      </w:r>
      <w:r w:rsidR="00B36972">
        <w:rPr>
          <w:rFonts w:eastAsia="宋体"/>
          <w:sz w:val="21"/>
          <w:szCs w:val="21"/>
          <w:lang w:val="en-US" w:eastAsia="zh-CN"/>
        </w:rPr>
        <w:t>s</w:t>
      </w:r>
      <w:r>
        <w:rPr>
          <w:rFonts w:eastAsia="宋体"/>
          <w:sz w:val="21"/>
          <w:szCs w:val="21"/>
          <w:lang w:val="en-US" w:eastAsia="zh-CN"/>
        </w:rPr>
        <w:t xml:space="preserve"> CP-OFDM for UL transmission, then RE level interl</w:t>
      </w:r>
      <w:r>
        <w:rPr>
          <w:rFonts w:eastAsia="宋体"/>
          <w:sz w:val="21"/>
          <w:szCs w:val="21"/>
          <w:lang w:val="en-US" w:eastAsia="zh-CN"/>
        </w:rPr>
        <w:t>aced allocation</w:t>
      </w:r>
      <w:r>
        <w:rPr>
          <w:rFonts w:eastAsia="宋体"/>
          <w:lang w:val="en-US" w:eastAsia="zh-CN"/>
        </w:rPr>
        <w:t xml:space="preserve"> can also be considered.</w:t>
      </w:r>
    </w:p>
    <w:p w14:paraId="613C546B" w14:textId="77777777" w:rsidR="008206B0" w:rsidRDefault="001A61DA">
      <w:pPr>
        <w:rPr>
          <w:rFonts w:eastAsia="宋体"/>
          <w:bCs/>
          <w:i/>
          <w:iCs/>
          <w:sz w:val="21"/>
          <w:szCs w:val="21"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>5</w:t>
      </w:r>
      <w:r>
        <w:rPr>
          <w:rFonts w:eastAsia="宋体"/>
          <w:b/>
          <w:lang w:eastAsia="zh-CN"/>
        </w:rPr>
        <w:t xml:space="preserve">: </w:t>
      </w:r>
      <w:r>
        <w:rPr>
          <w:rFonts w:eastAsia="宋体"/>
          <w:bCs/>
          <w:i/>
          <w:iCs/>
          <w:sz w:val="21"/>
          <w:szCs w:val="21"/>
          <w:lang w:val="en-US" w:eastAsia="zh-CN"/>
        </w:rPr>
        <w:t>Necessary</w:t>
      </w:r>
      <w:r>
        <w:rPr>
          <w:rFonts w:eastAsia="宋体"/>
          <w:bCs/>
          <w:i/>
          <w:iCs/>
          <w:sz w:val="21"/>
          <w:szCs w:val="21"/>
          <w:lang w:eastAsia="zh-CN"/>
        </w:rPr>
        <w:t xml:space="preserve"> enhancement</w:t>
      </w:r>
      <w:r w:rsidR="00B36972">
        <w:rPr>
          <w:rFonts w:eastAsia="宋体"/>
          <w:bCs/>
          <w:i/>
          <w:iCs/>
          <w:sz w:val="21"/>
          <w:szCs w:val="21"/>
          <w:lang w:eastAsia="zh-CN"/>
        </w:rPr>
        <w:t>s</w:t>
      </w:r>
      <w:r>
        <w:rPr>
          <w:rFonts w:eastAsia="宋体"/>
          <w:bCs/>
          <w:i/>
          <w:iCs/>
          <w:sz w:val="21"/>
          <w:szCs w:val="21"/>
          <w:lang w:val="en-US" w:eastAsia="zh-CN"/>
        </w:rPr>
        <w:t xml:space="preserve"> for PUSCH/PUCCH resource allocation and data transmission should be considered for</w:t>
      </w:r>
      <w:r>
        <w:rPr>
          <w:rFonts w:eastAsia="宋体"/>
          <w:bCs/>
          <w:i/>
          <w:iCs/>
          <w:sz w:val="21"/>
          <w:szCs w:val="21"/>
          <w:lang w:eastAsia="zh-CN"/>
        </w:rPr>
        <w:t xml:space="preserve"> NR unlicensed band operation.</w:t>
      </w:r>
    </w:p>
    <w:p w14:paraId="627F6F06" w14:textId="77777777" w:rsidR="008206B0" w:rsidRDefault="001A61DA">
      <w:pPr>
        <w:pStyle w:val="2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 xml:space="preserve"> SRS</w:t>
      </w:r>
    </w:p>
    <w:p w14:paraId="4DD3376F" w14:textId="77777777" w:rsidR="008206B0" w:rsidRDefault="001A61DA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/>
          <w:sz w:val="21"/>
          <w:szCs w:val="21"/>
          <w:lang w:val="en-US" w:eastAsia="zh-CN"/>
        </w:rPr>
        <w:t>S</w:t>
      </w:r>
      <w:r>
        <w:rPr>
          <w:rFonts w:eastAsia="宋体" w:hint="eastAsia"/>
          <w:sz w:val="21"/>
          <w:szCs w:val="21"/>
          <w:lang w:val="en-US" w:eastAsia="zh-CN"/>
        </w:rPr>
        <w:t xml:space="preserve">ame as LTE, NR supports SRS-based frequency-selective scheduling and periodic/aperiodic SRS transmission. Besides, NR can also support SRS-based downlink beamforming and semi-persistent SRS transmission, </w:t>
      </w:r>
      <w:r>
        <w:rPr>
          <w:rFonts w:eastAsia="宋体" w:hint="eastAsia"/>
          <w:sz w:val="21"/>
          <w:szCs w:val="21"/>
          <w:lang w:val="en-US" w:eastAsia="zh-CN"/>
        </w:rPr>
        <w:t>which are not supporte</w:t>
      </w:r>
      <w:r>
        <w:rPr>
          <w:rFonts w:eastAsia="宋体" w:hint="eastAsia"/>
          <w:sz w:val="21"/>
          <w:szCs w:val="21"/>
          <w:lang w:val="en-US" w:eastAsia="zh-CN"/>
        </w:rPr>
        <w:t xml:space="preserve">d in LTE. The timing relation between aperiodic NR SRS trigger and aperiodic NR SRS transmission is </w:t>
      </w:r>
      <w:r>
        <w:rPr>
          <w:rFonts w:eastAsia="宋体" w:hint="eastAsia"/>
          <w:sz w:val="21"/>
          <w:szCs w:val="21"/>
          <w:lang w:val="en-US" w:eastAsia="zh-CN"/>
        </w:rPr>
        <w:t>different from LTE SRS</w:t>
      </w:r>
      <w:r>
        <w:rPr>
          <w:rFonts w:eastAsia="宋体" w:hint="eastAsia"/>
          <w:sz w:val="21"/>
          <w:szCs w:val="21"/>
          <w:lang w:val="en-US" w:eastAsia="zh-CN"/>
        </w:rPr>
        <w:t xml:space="preserve"> and flexible enough</w:t>
      </w:r>
      <w:r>
        <w:rPr>
          <w:rFonts w:eastAsia="宋体" w:hint="eastAsia"/>
          <w:sz w:val="21"/>
          <w:szCs w:val="21"/>
          <w:lang w:val="en-US" w:eastAsia="zh-CN"/>
        </w:rPr>
        <w:t>. Considering OCB regulatory requirements, only wide-band and BWP</w:t>
      </w:r>
      <w:r>
        <w:rPr>
          <w:rFonts w:eastAsia="宋体" w:hint="eastAsia"/>
          <w:sz w:val="21"/>
          <w:szCs w:val="21"/>
          <w:lang w:val="en-US" w:eastAsia="zh-CN"/>
        </w:rPr>
        <w:t>/sub-band</w:t>
      </w:r>
      <w:r>
        <w:rPr>
          <w:rFonts w:eastAsia="宋体" w:hint="eastAsia"/>
          <w:sz w:val="21"/>
          <w:szCs w:val="21"/>
          <w:lang w:val="en-US" w:eastAsia="zh-CN"/>
        </w:rPr>
        <w:t xml:space="preserve"> SRS could be supported in NR-U.</w:t>
      </w:r>
      <w:r w:rsidRPr="007A5E1E">
        <w:rPr>
          <w:rFonts w:eastAsia="宋体"/>
          <w:sz w:val="21"/>
          <w:szCs w:val="21"/>
          <w:lang w:val="en-US" w:eastAsia="zh-CN"/>
        </w:rPr>
        <w:t xml:space="preserve"> In our opinion, BWP</w:t>
      </w:r>
      <w:r>
        <w:rPr>
          <w:rFonts w:eastAsia="宋体" w:hint="eastAsia"/>
          <w:sz w:val="21"/>
          <w:szCs w:val="21"/>
          <w:lang w:val="en-US" w:eastAsia="zh-CN"/>
        </w:rPr>
        <w:t xml:space="preserve"> or sub-band</w:t>
      </w:r>
      <w:r w:rsidRPr="007A5E1E">
        <w:rPr>
          <w:rFonts w:eastAsia="宋体"/>
          <w:sz w:val="21"/>
          <w:szCs w:val="21"/>
          <w:lang w:val="en-US" w:eastAsia="zh-CN"/>
        </w:rPr>
        <w:t xml:space="preserve"> can be considered as the nominal channel bandwidth for UEs in NR-U.</w:t>
      </w:r>
    </w:p>
    <w:p w14:paraId="3B0279A3" w14:textId="77777777" w:rsidR="008206B0" w:rsidRDefault="001A61DA">
      <w:pPr>
        <w:jc w:val="both"/>
        <w:rPr>
          <w:rFonts w:eastAsia="宋体" w:cs="Arial"/>
          <w:b/>
          <w:sz w:val="21"/>
          <w:szCs w:val="21"/>
          <w:lang w:val="en-US" w:eastAsia="zh-CN"/>
        </w:rPr>
      </w:pPr>
      <w:r>
        <w:rPr>
          <w:rFonts w:eastAsia="宋体"/>
          <w:b/>
          <w:sz w:val="21"/>
          <w:szCs w:val="21"/>
          <w:lang w:eastAsia="zh-CN"/>
        </w:rPr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>6</w:t>
      </w:r>
      <w:r>
        <w:rPr>
          <w:rFonts w:eastAsia="宋体"/>
          <w:b/>
          <w:sz w:val="21"/>
          <w:szCs w:val="21"/>
          <w:lang w:eastAsia="zh-CN"/>
        </w:rPr>
        <w:t>:</w:t>
      </w:r>
      <w:r>
        <w:rPr>
          <w:rFonts w:eastAsia="宋体" w:hint="eastAsia"/>
          <w:b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Rel-15 NR SRS can be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 used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 as a baseline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and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OCB </w:t>
      </w:r>
      <w:r w:rsidR="00876D98">
        <w:rPr>
          <w:rFonts w:eastAsia="宋体"/>
          <w:i/>
          <w:iCs/>
          <w:sz w:val="21"/>
          <w:szCs w:val="21"/>
          <w:lang w:val="en-US" w:eastAsia="zh-CN"/>
        </w:rPr>
        <w:t>requirements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 should be con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sidered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 when designing NR-U SRS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. </w:t>
      </w:r>
    </w:p>
    <w:p w14:paraId="690133A9" w14:textId="77777777" w:rsidR="008206B0" w:rsidRDefault="001A61DA">
      <w:pPr>
        <w:pStyle w:val="1"/>
        <w:ind w:left="448" w:hanging="448"/>
        <w:jc w:val="both"/>
        <w:rPr>
          <w:rFonts w:eastAsia="宋体" w:cs="Arial"/>
          <w:b/>
          <w:sz w:val="28"/>
          <w:szCs w:val="28"/>
          <w:lang w:eastAsia="zh-CN"/>
        </w:rPr>
      </w:pPr>
      <w:bookmarkStart w:id="8" w:name="IDX-CHP-8-0995"/>
      <w:bookmarkStart w:id="9" w:name="IDX-CHP-8-0993"/>
      <w:bookmarkStart w:id="10" w:name="IDX-CHP-8-0994"/>
      <w:bookmarkStart w:id="11" w:name="IDX-CHP-8-0992"/>
      <w:bookmarkStart w:id="12" w:name="IDX-CHP-8-0996"/>
      <w:bookmarkEnd w:id="1"/>
      <w:bookmarkEnd w:id="2"/>
      <w:bookmarkEnd w:id="3"/>
      <w:bookmarkEnd w:id="4"/>
      <w:bookmarkEnd w:id="8"/>
      <w:bookmarkEnd w:id="9"/>
      <w:bookmarkEnd w:id="10"/>
      <w:bookmarkEnd w:id="11"/>
      <w:bookmarkEnd w:id="12"/>
      <w:r>
        <w:rPr>
          <w:rFonts w:eastAsia="宋体" w:cs="Arial" w:hint="eastAsia"/>
          <w:b/>
          <w:sz w:val="28"/>
          <w:szCs w:val="28"/>
          <w:lang w:val="en-US" w:eastAsia="zh-CN"/>
        </w:rPr>
        <w:lastRenderedPageBreak/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 xml:space="preserve">Conclusion </w:t>
      </w:r>
    </w:p>
    <w:p w14:paraId="6E27C53D" w14:textId="77777777" w:rsidR="008206B0" w:rsidRDefault="001A61DA">
      <w:pPr>
        <w:widowControl w:val="0"/>
        <w:tabs>
          <w:tab w:val="left" w:pos="2784"/>
        </w:tabs>
        <w:autoSpaceDE w:val="0"/>
        <w:autoSpaceDN w:val="0"/>
        <w:adjustRightInd w:val="0"/>
        <w:spacing w:after="120" w:line="276" w:lineRule="auto"/>
        <w:jc w:val="both"/>
        <w:rPr>
          <w:rFonts w:eastAsia="宋体"/>
          <w:i/>
          <w:iCs/>
          <w:sz w:val="21"/>
          <w:szCs w:val="21"/>
          <w:lang w:val="en-US" w:eastAsia="zh-CN"/>
        </w:rPr>
      </w:pP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n this </w:t>
      </w:r>
      <w:r>
        <w:rPr>
          <w:rFonts w:eastAsia="宋体" w:hint="eastAsia"/>
          <w:lang w:eastAsia="zh-CN"/>
        </w:rPr>
        <w:t>contribution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we </w:t>
      </w:r>
      <w:r>
        <w:rPr>
          <w:rFonts w:eastAsia="宋体" w:hint="eastAsia"/>
          <w:lang w:val="en-US" w:eastAsia="zh-CN"/>
        </w:rPr>
        <w:t>discuss some potential solutions and techniques for NR-U UL reference signal design and physical channel design</w:t>
      </w:r>
      <w:r>
        <w:rPr>
          <w:rFonts w:eastAsia="宋体"/>
          <w:lang w:val="en-US" w:eastAsia="zh-CN"/>
        </w:rPr>
        <w:t>, and have the following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>: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 </w:t>
      </w:r>
    </w:p>
    <w:p w14:paraId="06C6B61E" w14:textId="454B75E7" w:rsidR="008206B0" w:rsidRDefault="001A61DA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b/>
          <w:bCs/>
          <w:sz w:val="21"/>
          <w:szCs w:val="21"/>
          <w:lang w:val="en-US" w:eastAsia="zh-CN"/>
        </w:rPr>
        <w:t xml:space="preserve">Proposal 1: </w:t>
      </w:r>
      <w:r w:rsidR="00A86E57">
        <w:rPr>
          <w:rFonts w:eastAsia="宋体" w:hint="eastAsia"/>
          <w:i/>
          <w:iCs/>
          <w:sz w:val="21"/>
          <w:szCs w:val="21"/>
          <w:lang w:val="en-US" w:eastAsia="zh-CN"/>
        </w:rPr>
        <w:t>NR-U should support both CFRA and CBRA procedure</w:t>
      </w:r>
      <w:r w:rsidR="00A86E57">
        <w:rPr>
          <w:rFonts w:eastAsia="宋体"/>
          <w:i/>
          <w:iCs/>
          <w:sz w:val="21"/>
          <w:szCs w:val="21"/>
          <w:lang w:val="en-US" w:eastAsia="zh-CN"/>
        </w:rPr>
        <w:t xml:space="preserve"> </w:t>
      </w:r>
      <w:r w:rsidR="00A86E57">
        <w:rPr>
          <w:rFonts w:eastAsia="宋体"/>
          <w:i/>
          <w:iCs/>
          <w:sz w:val="21"/>
          <w:szCs w:val="21"/>
          <w:lang w:val="en-US" w:eastAsia="zh-CN"/>
        </w:rPr>
        <w:t xml:space="preserve">to meet </w:t>
      </w:r>
      <w:r w:rsidR="00A86E57">
        <w:rPr>
          <w:rFonts w:eastAsia="宋体"/>
          <w:i/>
          <w:iCs/>
          <w:sz w:val="21"/>
          <w:szCs w:val="21"/>
          <w:lang w:val="en-US" w:eastAsia="zh-CN"/>
        </w:rPr>
        <w:t>the requirement of flexible scenarios</w:t>
      </w:r>
      <w:r w:rsidR="00A86E57">
        <w:rPr>
          <w:rFonts w:eastAsia="宋体" w:hint="eastAsia"/>
          <w:i/>
          <w:iCs/>
          <w:sz w:val="21"/>
          <w:szCs w:val="21"/>
          <w:lang w:val="en-US" w:eastAsia="zh-CN"/>
        </w:rPr>
        <w:t>.</w:t>
      </w:r>
    </w:p>
    <w:p w14:paraId="1045413E" w14:textId="77777777" w:rsidR="008206B0" w:rsidRDefault="001A61DA">
      <w:pPr>
        <w:jc w:val="both"/>
        <w:rPr>
          <w:rFonts w:eastAsia="宋体"/>
          <w:i/>
          <w:iCs/>
          <w:sz w:val="21"/>
          <w:szCs w:val="21"/>
          <w:lang w:val="en-US" w:eastAsia="zh-CN"/>
        </w:rPr>
      </w:pPr>
      <w:r>
        <w:rPr>
          <w:rFonts w:eastAsia="宋体" w:hint="eastAsia"/>
          <w:b/>
          <w:bCs/>
          <w:sz w:val="21"/>
          <w:szCs w:val="21"/>
          <w:lang w:val="en-US" w:eastAsia="zh-CN"/>
        </w:rPr>
        <w:t xml:space="preserve">Proposal 2: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Some enhancement for PRACH procedure can be considered, e.g., simplified PRACH procedure such as 2-step PRACH procedure.</w:t>
      </w:r>
    </w:p>
    <w:p w14:paraId="4BE49EAC" w14:textId="77777777" w:rsidR="008206B0" w:rsidRDefault="001A61DA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b/>
          <w:bCs/>
          <w:sz w:val="21"/>
          <w:szCs w:val="21"/>
          <w:lang w:val="en-US" w:eastAsia="zh-CN"/>
        </w:rPr>
        <w:t xml:space="preserve">Proposal 3: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A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simplified LBT mechanism for random access should be considered, e.g., Cat-2 LBT.</w:t>
      </w:r>
    </w:p>
    <w:p w14:paraId="1CA7FA56" w14:textId="5A1E03BF" w:rsidR="008206B0" w:rsidRDefault="001A61DA">
      <w:pPr>
        <w:jc w:val="both"/>
        <w:rPr>
          <w:rFonts w:eastAsia="宋体"/>
          <w:i/>
          <w:iCs/>
          <w:sz w:val="21"/>
          <w:szCs w:val="21"/>
          <w:lang w:val="en-US" w:eastAsia="zh-CN"/>
        </w:rPr>
      </w:pPr>
      <w:r>
        <w:rPr>
          <w:rFonts w:eastAsia="宋体" w:hint="eastAsia"/>
          <w:b/>
          <w:bCs/>
          <w:sz w:val="21"/>
          <w:szCs w:val="21"/>
          <w:lang w:val="en-US" w:eastAsia="zh-CN"/>
        </w:rPr>
        <w:t xml:space="preserve">Proposal 4: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In order to meet the OCB requirement for RACH preamble, some enhancement</w:t>
      </w:r>
      <w:r w:rsidR="00A86E57">
        <w:rPr>
          <w:rFonts w:eastAsia="宋体"/>
          <w:i/>
          <w:iCs/>
          <w:sz w:val="21"/>
          <w:szCs w:val="21"/>
          <w:lang w:val="en-US" w:eastAsia="zh-CN"/>
        </w:rPr>
        <w:t>s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 should be considered, e.g., frequency domain repetition of preamble, larger subca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rrier intervals of preamble, RE/RB based resource allocation, etc.</w:t>
      </w:r>
    </w:p>
    <w:p w14:paraId="733B8483" w14:textId="4C829F49" w:rsidR="008206B0" w:rsidRDefault="001A61DA">
      <w:pPr>
        <w:jc w:val="both"/>
        <w:rPr>
          <w:rFonts w:eastAsia="宋体"/>
          <w:i/>
          <w:iCs/>
          <w:sz w:val="21"/>
          <w:szCs w:val="21"/>
          <w:lang w:val="en-US" w:eastAsia="zh-CN"/>
        </w:rPr>
      </w:pPr>
      <w:r>
        <w:rPr>
          <w:rFonts w:eastAsia="宋体"/>
          <w:b/>
          <w:sz w:val="21"/>
          <w:szCs w:val="21"/>
          <w:lang w:eastAsia="zh-CN"/>
        </w:rPr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>5</w:t>
      </w:r>
      <w:r>
        <w:rPr>
          <w:rFonts w:eastAsia="宋体"/>
          <w:b/>
          <w:sz w:val="21"/>
          <w:szCs w:val="21"/>
          <w:lang w:eastAsia="zh-CN"/>
        </w:rPr>
        <w:t xml:space="preserve">: </w:t>
      </w:r>
      <w:r>
        <w:rPr>
          <w:rFonts w:eastAsia="宋体"/>
          <w:bCs/>
          <w:i/>
          <w:iCs/>
          <w:sz w:val="21"/>
          <w:szCs w:val="21"/>
          <w:lang w:val="en-US" w:eastAsia="zh-CN"/>
        </w:rPr>
        <w:t>Necessary</w:t>
      </w:r>
      <w:r>
        <w:rPr>
          <w:rFonts w:eastAsia="宋体"/>
          <w:bCs/>
          <w:i/>
          <w:iCs/>
          <w:sz w:val="21"/>
          <w:szCs w:val="21"/>
          <w:lang w:eastAsia="zh-CN"/>
        </w:rPr>
        <w:t xml:space="preserve"> enhancement</w:t>
      </w:r>
      <w:r w:rsidR="00A86E57">
        <w:rPr>
          <w:rFonts w:eastAsia="宋体"/>
          <w:bCs/>
          <w:i/>
          <w:iCs/>
          <w:sz w:val="21"/>
          <w:szCs w:val="21"/>
          <w:lang w:eastAsia="zh-CN"/>
        </w:rPr>
        <w:t>s</w:t>
      </w:r>
      <w:r>
        <w:rPr>
          <w:rFonts w:eastAsia="宋体"/>
          <w:bCs/>
          <w:i/>
          <w:iCs/>
          <w:sz w:val="21"/>
          <w:szCs w:val="21"/>
          <w:lang w:val="en-US" w:eastAsia="zh-CN"/>
        </w:rPr>
        <w:t xml:space="preserve"> for 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 xml:space="preserve">PUSCH/PUCCH resource allocation </w:t>
      </w:r>
      <w:r>
        <w:rPr>
          <w:rFonts w:eastAsia="宋体"/>
          <w:bCs/>
          <w:i/>
          <w:iCs/>
          <w:sz w:val="21"/>
          <w:szCs w:val="21"/>
          <w:lang w:val="en-US" w:eastAsia="zh-CN"/>
        </w:rPr>
        <w:t>and data transmission should be considered for</w:t>
      </w:r>
      <w:r>
        <w:rPr>
          <w:rFonts w:eastAsia="宋体"/>
          <w:bCs/>
          <w:i/>
          <w:iCs/>
          <w:sz w:val="21"/>
          <w:szCs w:val="21"/>
          <w:lang w:eastAsia="zh-CN"/>
        </w:rPr>
        <w:t xml:space="preserve"> NR unlicensed band operation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>.</w:t>
      </w:r>
    </w:p>
    <w:p w14:paraId="4D579C89" w14:textId="77777777" w:rsidR="008206B0" w:rsidRPr="007A5E1E" w:rsidRDefault="001A61DA">
      <w:pPr>
        <w:jc w:val="both"/>
        <w:rPr>
          <w:rFonts w:eastAsia="宋体"/>
          <w:b/>
          <w:lang w:eastAsia="zh-CN"/>
        </w:rPr>
      </w:pPr>
      <w:r w:rsidRPr="007A5E1E">
        <w:rPr>
          <w:rFonts w:eastAsia="宋体"/>
          <w:b/>
          <w:sz w:val="21"/>
          <w:szCs w:val="21"/>
          <w:lang w:eastAsia="zh-CN"/>
        </w:rPr>
        <w:t xml:space="preserve">Proposal </w:t>
      </w:r>
      <w:r w:rsidRPr="007A5E1E">
        <w:rPr>
          <w:rFonts w:eastAsia="宋体"/>
          <w:b/>
          <w:sz w:val="21"/>
          <w:szCs w:val="21"/>
          <w:lang w:val="en-US" w:eastAsia="zh-CN"/>
        </w:rPr>
        <w:t>6</w:t>
      </w:r>
      <w:r w:rsidRPr="007A5E1E">
        <w:rPr>
          <w:rFonts w:eastAsia="宋体"/>
          <w:b/>
          <w:sz w:val="21"/>
          <w:szCs w:val="21"/>
          <w:lang w:eastAsia="zh-CN"/>
        </w:rPr>
        <w:t xml:space="preserve">: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Rel-15 NR SRS can be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used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as a baseline and OCB </w:t>
      </w:r>
      <w:r w:rsidR="00876D98">
        <w:rPr>
          <w:rFonts w:eastAsia="宋体"/>
          <w:i/>
          <w:iCs/>
          <w:sz w:val="21"/>
          <w:szCs w:val="21"/>
          <w:lang w:val="en-US" w:eastAsia="zh-CN"/>
        </w:rPr>
        <w:t>requirements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 should be considered when designing NR-U SRS</w:t>
      </w:r>
      <w:r w:rsidRPr="007A5E1E">
        <w:rPr>
          <w:rFonts w:eastAsia="宋体"/>
          <w:bCs/>
          <w:i/>
          <w:iCs/>
          <w:sz w:val="21"/>
          <w:szCs w:val="21"/>
          <w:lang w:eastAsia="zh-CN"/>
        </w:rPr>
        <w:t>.</w:t>
      </w:r>
    </w:p>
    <w:p w14:paraId="351D12DB" w14:textId="77777777" w:rsidR="008206B0" w:rsidRDefault="001A61DA">
      <w:pPr>
        <w:pStyle w:val="1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 xml:space="preserve">Reference </w:t>
      </w:r>
    </w:p>
    <w:p w14:paraId="3769224B" w14:textId="77777777" w:rsidR="008206B0" w:rsidRDefault="001A61D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RP-</w:t>
      </w:r>
      <w:r>
        <w:rPr>
          <w:rFonts w:eastAsia="宋体" w:hint="eastAsia"/>
          <w:lang w:val="en-US" w:eastAsia="zh-CN"/>
        </w:rPr>
        <w:t>170828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>New SID</w:t>
      </w:r>
      <w:r>
        <w:rPr>
          <w:rFonts w:eastAsia="宋体" w:hint="eastAsia"/>
          <w:lang w:val="en-US" w:eastAsia="zh-CN"/>
        </w:rPr>
        <w:t xml:space="preserve"> on NR-based Access to Unlicensed Spectrum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>Qualcomm,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March 6 - 9, </w:t>
      </w:r>
      <w:r>
        <w:rPr>
          <w:rFonts w:eastAsia="宋体"/>
          <w:lang w:val="en-US" w:eastAsia="zh-CN"/>
        </w:rPr>
        <w:t>2017, RAN</w:t>
      </w:r>
      <w:r>
        <w:rPr>
          <w:rFonts w:eastAsia="宋体" w:hint="eastAsia"/>
          <w:lang w:val="en-US" w:eastAsia="zh-CN"/>
        </w:rPr>
        <w:t>#78</w:t>
      </w:r>
    </w:p>
    <w:p w14:paraId="57555CB4" w14:textId="77777777" w:rsidR="008206B0" w:rsidRDefault="001A61D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Draft report of 3GPP TSG RAN WG1#92bis v0.1.0, Sanya, China, April 16</w:t>
      </w:r>
      <w:r>
        <w:rPr>
          <w:rFonts w:eastAsia="宋体" w:hint="eastAsia"/>
          <w:vertAlign w:val="superscript"/>
          <w:lang w:val="en-US" w:eastAsia="zh-CN"/>
        </w:rPr>
        <w:t xml:space="preserve">th </w:t>
      </w:r>
      <w:r>
        <w:rPr>
          <w:rFonts w:eastAsia="宋体" w:hint="eastAsia"/>
          <w:lang w:val="en-US" w:eastAsia="zh-CN"/>
        </w:rPr>
        <w:t>- 20</w:t>
      </w:r>
      <w:r>
        <w:rPr>
          <w:rFonts w:eastAsia="宋体" w:hint="eastAsia"/>
          <w:vertAlign w:val="superscript"/>
          <w:lang w:val="en-US" w:eastAsia="zh-CN"/>
        </w:rPr>
        <w:t>th</w:t>
      </w:r>
      <w:r>
        <w:rPr>
          <w:rFonts w:eastAsia="宋体" w:hint="eastAsia"/>
          <w:lang w:val="en-US" w:eastAsia="zh-CN"/>
        </w:rPr>
        <w:t xml:space="preserve"> 2018</w:t>
      </w:r>
    </w:p>
    <w:p w14:paraId="00D24DD8" w14:textId="77777777" w:rsidR="008206B0" w:rsidRDefault="001A61D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R1-18</w:t>
      </w:r>
      <w:r>
        <w:rPr>
          <w:rFonts w:eastAsia="宋体" w:hint="eastAsia"/>
          <w:lang w:val="en-US" w:eastAsia="zh-CN"/>
        </w:rPr>
        <w:t>06460</w:t>
      </w:r>
      <w:r>
        <w:rPr>
          <w:rFonts w:eastAsia="宋体" w:hint="eastAsia"/>
          <w:lang w:val="en-US" w:eastAsia="zh-CN"/>
        </w:rPr>
        <w:t>, Considerations on DL reference signals and channels design for NR-U, ZTE</w:t>
      </w:r>
    </w:p>
    <w:bookmarkEnd w:id="0"/>
    <w:p w14:paraId="1F0112E4" w14:textId="77777777" w:rsidR="008206B0" w:rsidRDefault="008206B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</w:p>
    <w:p w14:paraId="073E69E2" w14:textId="77777777" w:rsidR="008206B0" w:rsidRDefault="008206B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</w:p>
    <w:sectPr w:rsidR="008206B0">
      <w:footerReference w:type="even" r:id="rId9"/>
      <w:footerReference w:type="default" r:id="rId10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BAF452" w14:textId="77777777" w:rsidR="001A61DA" w:rsidRDefault="001A61DA">
      <w:pPr>
        <w:spacing w:after="0" w:line="240" w:lineRule="auto"/>
      </w:pPr>
      <w:r>
        <w:separator/>
      </w:r>
    </w:p>
  </w:endnote>
  <w:endnote w:type="continuationSeparator" w:id="0">
    <w:p w14:paraId="24169A55" w14:textId="77777777" w:rsidR="001A61DA" w:rsidRDefault="001A6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Latha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宋体"/>
    <w:charset w:val="86"/>
    <w:family w:val="auto"/>
    <w:pitch w:val="default"/>
    <w:sig w:usb0="00000000" w:usb1="00000000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43F47D" w14:textId="77777777" w:rsidR="008206B0" w:rsidRDefault="001A61DA">
    <w:pPr>
      <w:pStyle w:val="a9"/>
      <w:framePr w:wrap="around" w:vAnchor="text" w:hAnchor="margin" w:xAlign="center" w:y="1"/>
      <w:rPr>
        <w:rStyle w:val="ac"/>
      </w:rPr>
    </w:pPr>
    <w:r>
      <w:fldChar w:fldCharType="begin"/>
    </w:r>
    <w:r>
      <w:rPr>
        <w:rStyle w:val="ac"/>
        <w:rFonts w:eastAsia="宋体"/>
      </w:rPr>
      <w:instrText xml:space="preserve">PAGE  </w:instrText>
    </w:r>
    <w:r>
      <w:fldChar w:fldCharType="separate"/>
    </w:r>
    <w:r>
      <w:rPr>
        <w:rStyle w:val="ac"/>
        <w:rFonts w:eastAsia="宋体"/>
      </w:rPr>
      <w:t>1</w:t>
    </w:r>
    <w:r>
      <w:fldChar w:fldCharType="end"/>
    </w:r>
  </w:p>
  <w:p w14:paraId="4607282A" w14:textId="77777777" w:rsidR="008206B0" w:rsidRDefault="008206B0">
    <w:pPr>
      <w:pStyle w:val="a9"/>
    </w:pPr>
  </w:p>
  <w:p w14:paraId="1B9CBB69" w14:textId="77777777" w:rsidR="008206B0" w:rsidRDefault="008206B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3EB9F" w14:textId="77777777" w:rsidR="008206B0" w:rsidRDefault="001A61DA">
    <w:pPr>
      <w:pStyle w:val="a9"/>
      <w:framePr w:wrap="around" w:vAnchor="text" w:hAnchor="margin" w:xAlign="center" w:y="1"/>
      <w:rPr>
        <w:rStyle w:val="ac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ac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 w:rsidR="00330910">
      <w:rPr>
        <w:rStyle w:val="ac"/>
        <w:rFonts w:ascii="Times New Roman" w:hAnsi="Times New Roman"/>
        <w:b w:val="0"/>
        <w:i w:val="0"/>
        <w:noProof/>
      </w:rPr>
      <w:t>4</w:t>
    </w:r>
    <w:r>
      <w:rPr>
        <w:rFonts w:ascii="Times New Roman" w:hAnsi="Times New Roman"/>
        <w:b w:val="0"/>
        <w:i w:val="0"/>
      </w:rPr>
      <w:fldChar w:fldCharType="end"/>
    </w:r>
  </w:p>
  <w:p w14:paraId="1502FBD2" w14:textId="77777777" w:rsidR="008206B0" w:rsidRDefault="008206B0">
    <w:pPr>
      <w:pStyle w:val="a9"/>
      <w:ind w:right="360"/>
    </w:pPr>
  </w:p>
  <w:p w14:paraId="2E835E96" w14:textId="77777777" w:rsidR="008206B0" w:rsidRDefault="008206B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5824C4" w14:textId="77777777" w:rsidR="001A61DA" w:rsidRDefault="001A61DA">
      <w:pPr>
        <w:spacing w:after="0" w:line="240" w:lineRule="auto"/>
      </w:pPr>
      <w:r>
        <w:separator/>
      </w:r>
    </w:p>
  </w:footnote>
  <w:footnote w:type="continuationSeparator" w:id="0">
    <w:p w14:paraId="782E4402" w14:textId="77777777" w:rsidR="001A61DA" w:rsidRDefault="001A61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0D9C4862"/>
    <w:multiLevelType w:val="multilevel"/>
    <w:tmpl w:val="0D9C4862"/>
    <w:lvl w:ilvl="0">
      <w:start w:val="1"/>
      <w:numFmt w:val="decimal"/>
      <w:pStyle w:val="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3" w15:restartNumberingAfterBreak="0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29D33492"/>
    <w:multiLevelType w:val="multilevel"/>
    <w:tmpl w:val="29D334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3F54A71"/>
    <w:multiLevelType w:val="multilevel"/>
    <w:tmpl w:val="43F54A7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78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78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9" w15:restartNumberingAfterBreak="0">
    <w:nsid w:val="539661D3"/>
    <w:multiLevelType w:val="multilevel"/>
    <w:tmpl w:val="539661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0"/>
  </w:num>
  <w:num w:numId="4">
    <w:abstractNumId w:val="11"/>
  </w:num>
  <w:num w:numId="5">
    <w:abstractNumId w:val="3"/>
  </w:num>
  <w:num w:numId="6">
    <w:abstractNumId w:val="8"/>
  </w:num>
  <w:num w:numId="7">
    <w:abstractNumId w:val="5"/>
  </w:num>
  <w:num w:numId="8">
    <w:abstractNumId w:val="1"/>
  </w:num>
  <w:num w:numId="9">
    <w:abstractNumId w:val="4"/>
  </w:num>
  <w:num w:numId="10">
    <w:abstractNumId w:val="9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hyphenationZone w:val="425"/>
  <w:drawingGridHorizontalSpacing w:val="100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EB4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C56"/>
    <w:rsid w:val="00034FD8"/>
    <w:rsid w:val="0003515F"/>
    <w:rsid w:val="00035256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BAF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4004"/>
    <w:rsid w:val="000542F9"/>
    <w:rsid w:val="000544F0"/>
    <w:rsid w:val="0005457C"/>
    <w:rsid w:val="000548B8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A44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F12"/>
    <w:rsid w:val="00171FF7"/>
    <w:rsid w:val="00172A2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1DA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DFC"/>
    <w:rsid w:val="0022016D"/>
    <w:rsid w:val="0022039E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DF7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7A5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10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1174"/>
    <w:rsid w:val="003A1386"/>
    <w:rsid w:val="003A1897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6C0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6F6"/>
    <w:rsid w:val="00520DC0"/>
    <w:rsid w:val="00520E5B"/>
    <w:rsid w:val="00520EEB"/>
    <w:rsid w:val="005212D4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502"/>
    <w:rsid w:val="0056655D"/>
    <w:rsid w:val="00566576"/>
    <w:rsid w:val="00566E51"/>
    <w:rsid w:val="0056711C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4FD8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CE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0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AB4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6CDE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E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C1C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372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C1A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006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D69"/>
    <w:rsid w:val="007A4E0F"/>
    <w:rsid w:val="007A4F1E"/>
    <w:rsid w:val="007A5BAF"/>
    <w:rsid w:val="007A5CEF"/>
    <w:rsid w:val="007A5E1E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A28"/>
    <w:rsid w:val="007F2A9D"/>
    <w:rsid w:val="007F2E83"/>
    <w:rsid w:val="007F3587"/>
    <w:rsid w:val="007F35D8"/>
    <w:rsid w:val="007F3616"/>
    <w:rsid w:val="007F3D4E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6B0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203A"/>
    <w:rsid w:val="0083262D"/>
    <w:rsid w:val="008326F6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431A"/>
    <w:rsid w:val="00844556"/>
    <w:rsid w:val="00844D8B"/>
    <w:rsid w:val="00844E26"/>
    <w:rsid w:val="00844E4C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420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6D98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6CF"/>
    <w:rsid w:val="008A07EC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37926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4EB"/>
    <w:rsid w:val="00942ADC"/>
    <w:rsid w:val="00942DAF"/>
    <w:rsid w:val="00942DBD"/>
    <w:rsid w:val="0094330F"/>
    <w:rsid w:val="009434A5"/>
    <w:rsid w:val="00943701"/>
    <w:rsid w:val="00943F09"/>
    <w:rsid w:val="009442F6"/>
    <w:rsid w:val="00944432"/>
    <w:rsid w:val="0094446F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55"/>
    <w:rsid w:val="009669E8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E33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4F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D31"/>
    <w:rsid w:val="00A700D8"/>
    <w:rsid w:val="00A7070C"/>
    <w:rsid w:val="00A70D34"/>
    <w:rsid w:val="00A710A6"/>
    <w:rsid w:val="00A7124F"/>
    <w:rsid w:val="00A7171A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249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57"/>
    <w:rsid w:val="00A86E6F"/>
    <w:rsid w:val="00A86FB2"/>
    <w:rsid w:val="00A87246"/>
    <w:rsid w:val="00A874D0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D98"/>
    <w:rsid w:val="00A94DDF"/>
    <w:rsid w:val="00A954A5"/>
    <w:rsid w:val="00A955E3"/>
    <w:rsid w:val="00A96167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70B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31F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7"/>
    <w:rsid w:val="00AE3C5E"/>
    <w:rsid w:val="00AE4170"/>
    <w:rsid w:val="00AE4345"/>
    <w:rsid w:val="00AE4ADD"/>
    <w:rsid w:val="00AE4CFD"/>
    <w:rsid w:val="00AE4E85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B05"/>
    <w:rsid w:val="00AF4D55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72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2C59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284"/>
    <w:rsid w:val="00C14913"/>
    <w:rsid w:val="00C14A44"/>
    <w:rsid w:val="00C14A9A"/>
    <w:rsid w:val="00C14C93"/>
    <w:rsid w:val="00C14F6A"/>
    <w:rsid w:val="00C15A1A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1377"/>
    <w:rsid w:val="00C813ED"/>
    <w:rsid w:val="00C81567"/>
    <w:rsid w:val="00C81839"/>
    <w:rsid w:val="00C81C39"/>
    <w:rsid w:val="00C81E9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4314"/>
    <w:rsid w:val="00C8436C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783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304B"/>
    <w:rsid w:val="00CE322A"/>
    <w:rsid w:val="00CE32AA"/>
    <w:rsid w:val="00CE381A"/>
    <w:rsid w:val="00CE38D4"/>
    <w:rsid w:val="00CE3B35"/>
    <w:rsid w:val="00CE3E30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20809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333"/>
    <w:rsid w:val="00D2344A"/>
    <w:rsid w:val="00D237BD"/>
    <w:rsid w:val="00D237E3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11C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12A0"/>
    <w:rsid w:val="00DB130A"/>
    <w:rsid w:val="00DB18C5"/>
    <w:rsid w:val="00DB24E6"/>
    <w:rsid w:val="00DB26E6"/>
    <w:rsid w:val="00DB2C41"/>
    <w:rsid w:val="00DB34A6"/>
    <w:rsid w:val="00DB3A4E"/>
    <w:rsid w:val="00DB3B59"/>
    <w:rsid w:val="00DB3B79"/>
    <w:rsid w:val="00DB3E32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7CC"/>
    <w:rsid w:val="00DF67CF"/>
    <w:rsid w:val="00DF6AC2"/>
    <w:rsid w:val="00DF6D9D"/>
    <w:rsid w:val="00DF6F8F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379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D2358"/>
    <w:rsid w:val="01120C0E"/>
    <w:rsid w:val="012A1556"/>
    <w:rsid w:val="016300B5"/>
    <w:rsid w:val="01662491"/>
    <w:rsid w:val="0171781D"/>
    <w:rsid w:val="017F5CF5"/>
    <w:rsid w:val="019F2E30"/>
    <w:rsid w:val="01D7237F"/>
    <w:rsid w:val="01DE59FF"/>
    <w:rsid w:val="03127134"/>
    <w:rsid w:val="032E7219"/>
    <w:rsid w:val="03730DEA"/>
    <w:rsid w:val="041D3FE2"/>
    <w:rsid w:val="04586E3A"/>
    <w:rsid w:val="04B14C72"/>
    <w:rsid w:val="04D933F6"/>
    <w:rsid w:val="050C02AC"/>
    <w:rsid w:val="05F02835"/>
    <w:rsid w:val="063B1FB2"/>
    <w:rsid w:val="063D7168"/>
    <w:rsid w:val="06412B65"/>
    <w:rsid w:val="06780CAF"/>
    <w:rsid w:val="06C1240E"/>
    <w:rsid w:val="07542980"/>
    <w:rsid w:val="07877B44"/>
    <w:rsid w:val="08420F01"/>
    <w:rsid w:val="08C447CA"/>
    <w:rsid w:val="091D787D"/>
    <w:rsid w:val="092B4C65"/>
    <w:rsid w:val="097D51B6"/>
    <w:rsid w:val="09D01ECD"/>
    <w:rsid w:val="0BE54882"/>
    <w:rsid w:val="0BF61FC1"/>
    <w:rsid w:val="0C4F022E"/>
    <w:rsid w:val="0C800CF5"/>
    <w:rsid w:val="0C8F5033"/>
    <w:rsid w:val="0CA06B2F"/>
    <w:rsid w:val="0CA85FC8"/>
    <w:rsid w:val="0CB1691B"/>
    <w:rsid w:val="0D89475B"/>
    <w:rsid w:val="0DE53E77"/>
    <w:rsid w:val="0DE87E04"/>
    <w:rsid w:val="0E1C0F16"/>
    <w:rsid w:val="0EE6751E"/>
    <w:rsid w:val="0F6013A0"/>
    <w:rsid w:val="0F8D0B4E"/>
    <w:rsid w:val="0FAC31FE"/>
    <w:rsid w:val="0FFE3BEB"/>
    <w:rsid w:val="10063E75"/>
    <w:rsid w:val="104E188D"/>
    <w:rsid w:val="10587490"/>
    <w:rsid w:val="10797EF4"/>
    <w:rsid w:val="10A15189"/>
    <w:rsid w:val="10D00A21"/>
    <w:rsid w:val="10E94048"/>
    <w:rsid w:val="11272C1C"/>
    <w:rsid w:val="11362E5F"/>
    <w:rsid w:val="1145739D"/>
    <w:rsid w:val="116327EE"/>
    <w:rsid w:val="11BB4CD7"/>
    <w:rsid w:val="11DA7C8F"/>
    <w:rsid w:val="12137E52"/>
    <w:rsid w:val="12172F68"/>
    <w:rsid w:val="12337389"/>
    <w:rsid w:val="12516E7E"/>
    <w:rsid w:val="126573FA"/>
    <w:rsid w:val="132F4DB4"/>
    <w:rsid w:val="143F6AFF"/>
    <w:rsid w:val="14584883"/>
    <w:rsid w:val="15CF58E5"/>
    <w:rsid w:val="15F62CC1"/>
    <w:rsid w:val="165E5402"/>
    <w:rsid w:val="167026DE"/>
    <w:rsid w:val="1670292F"/>
    <w:rsid w:val="16957217"/>
    <w:rsid w:val="16D43050"/>
    <w:rsid w:val="174B5EF9"/>
    <w:rsid w:val="1786367E"/>
    <w:rsid w:val="17872851"/>
    <w:rsid w:val="17AE317B"/>
    <w:rsid w:val="182948CB"/>
    <w:rsid w:val="18321DF7"/>
    <w:rsid w:val="18B54546"/>
    <w:rsid w:val="19881702"/>
    <w:rsid w:val="19F56342"/>
    <w:rsid w:val="1A665379"/>
    <w:rsid w:val="1B091337"/>
    <w:rsid w:val="1B0C26CA"/>
    <w:rsid w:val="1B6D6F8F"/>
    <w:rsid w:val="1BA0668A"/>
    <w:rsid w:val="1BF867C3"/>
    <w:rsid w:val="1C3D50A3"/>
    <w:rsid w:val="1C5A6120"/>
    <w:rsid w:val="1C6149F5"/>
    <w:rsid w:val="1C9A5EA0"/>
    <w:rsid w:val="1CBA6EDE"/>
    <w:rsid w:val="1CBB7CFB"/>
    <w:rsid w:val="1D2768F8"/>
    <w:rsid w:val="1DB84635"/>
    <w:rsid w:val="1DC11A56"/>
    <w:rsid w:val="1DD108D2"/>
    <w:rsid w:val="1E3C35CE"/>
    <w:rsid w:val="1F7F7D85"/>
    <w:rsid w:val="1FA27229"/>
    <w:rsid w:val="1FA77E30"/>
    <w:rsid w:val="20450A76"/>
    <w:rsid w:val="20455F9C"/>
    <w:rsid w:val="20707DFA"/>
    <w:rsid w:val="20C60424"/>
    <w:rsid w:val="218B5863"/>
    <w:rsid w:val="21A1056E"/>
    <w:rsid w:val="21CC6790"/>
    <w:rsid w:val="220F0C18"/>
    <w:rsid w:val="22B753BA"/>
    <w:rsid w:val="23B700B7"/>
    <w:rsid w:val="2445694D"/>
    <w:rsid w:val="24D66B6D"/>
    <w:rsid w:val="24FA07DE"/>
    <w:rsid w:val="25006528"/>
    <w:rsid w:val="254B11E9"/>
    <w:rsid w:val="255514A1"/>
    <w:rsid w:val="258B7A1A"/>
    <w:rsid w:val="25A534F7"/>
    <w:rsid w:val="25EF16D6"/>
    <w:rsid w:val="26180793"/>
    <w:rsid w:val="265E0639"/>
    <w:rsid w:val="26796197"/>
    <w:rsid w:val="267D4A70"/>
    <w:rsid w:val="26BF09E3"/>
    <w:rsid w:val="26ED2E1C"/>
    <w:rsid w:val="26EF6891"/>
    <w:rsid w:val="2786663F"/>
    <w:rsid w:val="283E14E7"/>
    <w:rsid w:val="285D13A9"/>
    <w:rsid w:val="28853ADB"/>
    <w:rsid w:val="28D41273"/>
    <w:rsid w:val="29052F62"/>
    <w:rsid w:val="290C442F"/>
    <w:rsid w:val="299F2A32"/>
    <w:rsid w:val="29A86CB8"/>
    <w:rsid w:val="29DC650B"/>
    <w:rsid w:val="2A1F404C"/>
    <w:rsid w:val="2A2013EB"/>
    <w:rsid w:val="2A541FD5"/>
    <w:rsid w:val="2AA20801"/>
    <w:rsid w:val="2AB87157"/>
    <w:rsid w:val="2AE278D5"/>
    <w:rsid w:val="2B181E15"/>
    <w:rsid w:val="2B4C5204"/>
    <w:rsid w:val="2BB11BA3"/>
    <w:rsid w:val="2CEA0468"/>
    <w:rsid w:val="2D291565"/>
    <w:rsid w:val="2D781D43"/>
    <w:rsid w:val="2D9B16BD"/>
    <w:rsid w:val="2E056DE4"/>
    <w:rsid w:val="2EB5032D"/>
    <w:rsid w:val="2F5E5727"/>
    <w:rsid w:val="2F6126A2"/>
    <w:rsid w:val="2FB6309F"/>
    <w:rsid w:val="300635B2"/>
    <w:rsid w:val="3042487F"/>
    <w:rsid w:val="30EA6915"/>
    <w:rsid w:val="312852AD"/>
    <w:rsid w:val="313C7BC6"/>
    <w:rsid w:val="316A71F6"/>
    <w:rsid w:val="31942C78"/>
    <w:rsid w:val="31A214F3"/>
    <w:rsid w:val="31C7471D"/>
    <w:rsid w:val="32270B61"/>
    <w:rsid w:val="3273791F"/>
    <w:rsid w:val="33236153"/>
    <w:rsid w:val="33256A54"/>
    <w:rsid w:val="33753B52"/>
    <w:rsid w:val="34461AE9"/>
    <w:rsid w:val="34547B12"/>
    <w:rsid w:val="34A01296"/>
    <w:rsid w:val="34AD636D"/>
    <w:rsid w:val="34D35AEF"/>
    <w:rsid w:val="34D37972"/>
    <w:rsid w:val="35194A87"/>
    <w:rsid w:val="35533710"/>
    <w:rsid w:val="35B40B4F"/>
    <w:rsid w:val="35B64FD1"/>
    <w:rsid w:val="35F43894"/>
    <w:rsid w:val="362C2535"/>
    <w:rsid w:val="36520761"/>
    <w:rsid w:val="36BA5016"/>
    <w:rsid w:val="37036FE3"/>
    <w:rsid w:val="373569A8"/>
    <w:rsid w:val="373A2E6A"/>
    <w:rsid w:val="379151F3"/>
    <w:rsid w:val="37CD79C5"/>
    <w:rsid w:val="384E6F01"/>
    <w:rsid w:val="38880168"/>
    <w:rsid w:val="38B213D3"/>
    <w:rsid w:val="38D233FA"/>
    <w:rsid w:val="38D43BCE"/>
    <w:rsid w:val="38FD34A3"/>
    <w:rsid w:val="3908323F"/>
    <w:rsid w:val="39AE4056"/>
    <w:rsid w:val="3A1530F4"/>
    <w:rsid w:val="3A3838BE"/>
    <w:rsid w:val="3A8A0C83"/>
    <w:rsid w:val="3B6B49ED"/>
    <w:rsid w:val="3B7B29BE"/>
    <w:rsid w:val="3BB723BA"/>
    <w:rsid w:val="3BF849DD"/>
    <w:rsid w:val="3C2E346D"/>
    <w:rsid w:val="3C6541EF"/>
    <w:rsid w:val="3D7D68E8"/>
    <w:rsid w:val="3DF43ED5"/>
    <w:rsid w:val="3E12574F"/>
    <w:rsid w:val="3E620DC8"/>
    <w:rsid w:val="3E9111B3"/>
    <w:rsid w:val="3EAB08D1"/>
    <w:rsid w:val="3EDE01B4"/>
    <w:rsid w:val="3F284687"/>
    <w:rsid w:val="3F475658"/>
    <w:rsid w:val="3F48598F"/>
    <w:rsid w:val="3F7B467C"/>
    <w:rsid w:val="3F8534F2"/>
    <w:rsid w:val="3F8D6CDE"/>
    <w:rsid w:val="40D00C0D"/>
    <w:rsid w:val="41180D6F"/>
    <w:rsid w:val="418271DC"/>
    <w:rsid w:val="429E05A2"/>
    <w:rsid w:val="434E3D91"/>
    <w:rsid w:val="4371518A"/>
    <w:rsid w:val="43745761"/>
    <w:rsid w:val="43825471"/>
    <w:rsid w:val="43AD4F9B"/>
    <w:rsid w:val="43E61D64"/>
    <w:rsid w:val="43F667ED"/>
    <w:rsid w:val="4445734B"/>
    <w:rsid w:val="44704880"/>
    <w:rsid w:val="447D6C1D"/>
    <w:rsid w:val="44815327"/>
    <w:rsid w:val="44DF5888"/>
    <w:rsid w:val="44E20E25"/>
    <w:rsid w:val="4505615F"/>
    <w:rsid w:val="45251B91"/>
    <w:rsid w:val="45D212DD"/>
    <w:rsid w:val="45FD1EC4"/>
    <w:rsid w:val="464C33C7"/>
    <w:rsid w:val="466C646E"/>
    <w:rsid w:val="46870BD8"/>
    <w:rsid w:val="46E2491C"/>
    <w:rsid w:val="47690EAD"/>
    <w:rsid w:val="479B7CFE"/>
    <w:rsid w:val="47DC4C30"/>
    <w:rsid w:val="4845355B"/>
    <w:rsid w:val="48586A3A"/>
    <w:rsid w:val="48A535C5"/>
    <w:rsid w:val="48B65743"/>
    <w:rsid w:val="48BD07E6"/>
    <w:rsid w:val="48ED21B1"/>
    <w:rsid w:val="48F33068"/>
    <w:rsid w:val="49441DC3"/>
    <w:rsid w:val="497778A9"/>
    <w:rsid w:val="49AD6CEA"/>
    <w:rsid w:val="49D9493E"/>
    <w:rsid w:val="49F50CB4"/>
    <w:rsid w:val="49FC39E1"/>
    <w:rsid w:val="49FE76B2"/>
    <w:rsid w:val="4A0E26B7"/>
    <w:rsid w:val="4AC1656E"/>
    <w:rsid w:val="4B330DED"/>
    <w:rsid w:val="4B395511"/>
    <w:rsid w:val="4BCD4308"/>
    <w:rsid w:val="4BEB0FE1"/>
    <w:rsid w:val="4C96348A"/>
    <w:rsid w:val="4CBA6BE7"/>
    <w:rsid w:val="4CBB7B02"/>
    <w:rsid w:val="4CD00124"/>
    <w:rsid w:val="4CEC1471"/>
    <w:rsid w:val="4CF679F5"/>
    <w:rsid w:val="4DBB7E42"/>
    <w:rsid w:val="4E123A61"/>
    <w:rsid w:val="4E283BF9"/>
    <w:rsid w:val="4E816476"/>
    <w:rsid w:val="4F08177C"/>
    <w:rsid w:val="4F7702EF"/>
    <w:rsid w:val="500013B1"/>
    <w:rsid w:val="506B150D"/>
    <w:rsid w:val="508F6D9B"/>
    <w:rsid w:val="50C073CC"/>
    <w:rsid w:val="50C74476"/>
    <w:rsid w:val="50F96C4E"/>
    <w:rsid w:val="51D904AC"/>
    <w:rsid w:val="520B25EE"/>
    <w:rsid w:val="521D49F1"/>
    <w:rsid w:val="522C3822"/>
    <w:rsid w:val="523503EF"/>
    <w:rsid w:val="526B2DEC"/>
    <w:rsid w:val="52AE312E"/>
    <w:rsid w:val="52B33948"/>
    <w:rsid w:val="52BE565A"/>
    <w:rsid w:val="52D65C92"/>
    <w:rsid w:val="53E8282F"/>
    <w:rsid w:val="53FE62CD"/>
    <w:rsid w:val="540F05AA"/>
    <w:rsid w:val="5421495A"/>
    <w:rsid w:val="54720E6C"/>
    <w:rsid w:val="54921106"/>
    <w:rsid w:val="54B93795"/>
    <w:rsid w:val="54CF284E"/>
    <w:rsid w:val="54DF2057"/>
    <w:rsid w:val="553375AE"/>
    <w:rsid w:val="554376C8"/>
    <w:rsid w:val="554F0D7B"/>
    <w:rsid w:val="55B62F64"/>
    <w:rsid w:val="55BD4F0C"/>
    <w:rsid w:val="55EB3A9F"/>
    <w:rsid w:val="56781174"/>
    <w:rsid w:val="57023C45"/>
    <w:rsid w:val="5720074D"/>
    <w:rsid w:val="572300F2"/>
    <w:rsid w:val="57B738E0"/>
    <w:rsid w:val="58C94687"/>
    <w:rsid w:val="596326A9"/>
    <w:rsid w:val="596400E7"/>
    <w:rsid w:val="59812E2C"/>
    <w:rsid w:val="59EF1F13"/>
    <w:rsid w:val="59F01F19"/>
    <w:rsid w:val="5A1560F8"/>
    <w:rsid w:val="5A262260"/>
    <w:rsid w:val="5A4F57C5"/>
    <w:rsid w:val="5AAD3281"/>
    <w:rsid w:val="5AC247F5"/>
    <w:rsid w:val="5AC86500"/>
    <w:rsid w:val="5B242A4F"/>
    <w:rsid w:val="5BA85095"/>
    <w:rsid w:val="5C5750BA"/>
    <w:rsid w:val="5C7D4D78"/>
    <w:rsid w:val="5C812DA3"/>
    <w:rsid w:val="5C9E6620"/>
    <w:rsid w:val="5CF22A1A"/>
    <w:rsid w:val="5D867492"/>
    <w:rsid w:val="5DAF334A"/>
    <w:rsid w:val="5E087EA2"/>
    <w:rsid w:val="5EA5785A"/>
    <w:rsid w:val="5ED358B4"/>
    <w:rsid w:val="5EF6627A"/>
    <w:rsid w:val="5F037BD6"/>
    <w:rsid w:val="5F3336A5"/>
    <w:rsid w:val="5F3460CD"/>
    <w:rsid w:val="5F654B44"/>
    <w:rsid w:val="5F881135"/>
    <w:rsid w:val="5F8E7C87"/>
    <w:rsid w:val="5F9D02B3"/>
    <w:rsid w:val="5FBB2206"/>
    <w:rsid w:val="5FC26EAD"/>
    <w:rsid w:val="60204443"/>
    <w:rsid w:val="602A71DA"/>
    <w:rsid w:val="60575D03"/>
    <w:rsid w:val="611275D3"/>
    <w:rsid w:val="6117553F"/>
    <w:rsid w:val="616F65D9"/>
    <w:rsid w:val="6194428A"/>
    <w:rsid w:val="61D10197"/>
    <w:rsid w:val="62297593"/>
    <w:rsid w:val="62842766"/>
    <w:rsid w:val="62A86E8C"/>
    <w:rsid w:val="63257DB5"/>
    <w:rsid w:val="6356637E"/>
    <w:rsid w:val="641526D4"/>
    <w:rsid w:val="6422650A"/>
    <w:rsid w:val="645851A4"/>
    <w:rsid w:val="64835F2F"/>
    <w:rsid w:val="648E0F1D"/>
    <w:rsid w:val="64D80423"/>
    <w:rsid w:val="651725E2"/>
    <w:rsid w:val="65713082"/>
    <w:rsid w:val="658557B5"/>
    <w:rsid w:val="65FE6126"/>
    <w:rsid w:val="66196874"/>
    <w:rsid w:val="664114DB"/>
    <w:rsid w:val="667E00F5"/>
    <w:rsid w:val="668652F7"/>
    <w:rsid w:val="66900CCE"/>
    <w:rsid w:val="66B37847"/>
    <w:rsid w:val="66D45137"/>
    <w:rsid w:val="67560E79"/>
    <w:rsid w:val="675B57F5"/>
    <w:rsid w:val="676207E2"/>
    <w:rsid w:val="67993ACA"/>
    <w:rsid w:val="67D2542E"/>
    <w:rsid w:val="67DA7677"/>
    <w:rsid w:val="682F09FB"/>
    <w:rsid w:val="68363F74"/>
    <w:rsid w:val="68383846"/>
    <w:rsid w:val="684B46A6"/>
    <w:rsid w:val="695A62A9"/>
    <w:rsid w:val="69B339A6"/>
    <w:rsid w:val="6A2F4319"/>
    <w:rsid w:val="6A6E1B96"/>
    <w:rsid w:val="6AC93F8C"/>
    <w:rsid w:val="6ACF3867"/>
    <w:rsid w:val="6B136D2A"/>
    <w:rsid w:val="6B3D4A1D"/>
    <w:rsid w:val="6BE115FE"/>
    <w:rsid w:val="6C54593C"/>
    <w:rsid w:val="6C6A7B10"/>
    <w:rsid w:val="6CB42DAF"/>
    <w:rsid w:val="6CC22A75"/>
    <w:rsid w:val="6CD3550E"/>
    <w:rsid w:val="6E02368D"/>
    <w:rsid w:val="6E4E3407"/>
    <w:rsid w:val="6E9C1600"/>
    <w:rsid w:val="6EC67286"/>
    <w:rsid w:val="6ED44793"/>
    <w:rsid w:val="6EF60047"/>
    <w:rsid w:val="6EFB556C"/>
    <w:rsid w:val="6F365528"/>
    <w:rsid w:val="6F37467A"/>
    <w:rsid w:val="6F6571D2"/>
    <w:rsid w:val="6F66712A"/>
    <w:rsid w:val="6F6E7020"/>
    <w:rsid w:val="70105602"/>
    <w:rsid w:val="70134DF9"/>
    <w:rsid w:val="705642DC"/>
    <w:rsid w:val="709C706E"/>
    <w:rsid w:val="712F05D2"/>
    <w:rsid w:val="71942565"/>
    <w:rsid w:val="72770656"/>
    <w:rsid w:val="728576DC"/>
    <w:rsid w:val="72AF7717"/>
    <w:rsid w:val="72C606B1"/>
    <w:rsid w:val="731468B0"/>
    <w:rsid w:val="73493F99"/>
    <w:rsid w:val="735B2304"/>
    <w:rsid w:val="737D693A"/>
    <w:rsid w:val="73992BDC"/>
    <w:rsid w:val="73DD3136"/>
    <w:rsid w:val="74215AEF"/>
    <w:rsid w:val="74242B43"/>
    <w:rsid w:val="74885903"/>
    <w:rsid w:val="7497437F"/>
    <w:rsid w:val="74A95205"/>
    <w:rsid w:val="74FD41BD"/>
    <w:rsid w:val="76E97048"/>
    <w:rsid w:val="77093BCD"/>
    <w:rsid w:val="772B0E02"/>
    <w:rsid w:val="778F0CF5"/>
    <w:rsid w:val="77C462C0"/>
    <w:rsid w:val="77D04EB7"/>
    <w:rsid w:val="788526FC"/>
    <w:rsid w:val="78893A99"/>
    <w:rsid w:val="78CC62F5"/>
    <w:rsid w:val="7930480C"/>
    <w:rsid w:val="794F7E8E"/>
    <w:rsid w:val="79C45973"/>
    <w:rsid w:val="7AFC08CE"/>
    <w:rsid w:val="7BC47370"/>
    <w:rsid w:val="7CA7500D"/>
    <w:rsid w:val="7D7F5F10"/>
    <w:rsid w:val="7D810AC9"/>
    <w:rsid w:val="7E8C5D3C"/>
    <w:rsid w:val="7EBA234D"/>
    <w:rsid w:val="7EFC1A7B"/>
    <w:rsid w:val="7F314EF0"/>
    <w:rsid w:val="7F6B7839"/>
    <w:rsid w:val="7FE506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71B689"/>
  <w15:docId w15:val="{2087A6F0-0A7B-4C6F-81AE-A58C59C1D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4">
    <w:name w:val="heading 4"/>
    <w:basedOn w:val="3"/>
    <w:next w:val="a"/>
    <w:qFormat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a"/>
    <w:next w:val="a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"/>
    <w:next w:val="a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Chars="400" w:left="100" w:hangingChars="200" w:hanging="200"/>
    </w:pPr>
  </w:style>
  <w:style w:type="paragraph" w:styleId="a3">
    <w:name w:val="annotation subject"/>
    <w:basedOn w:val="a4"/>
    <w:next w:val="a4"/>
    <w:semiHidden/>
    <w:qFormat/>
    <w:rPr>
      <w:b/>
      <w:bCs/>
    </w:rPr>
  </w:style>
  <w:style w:type="paragraph" w:styleId="a4">
    <w:name w:val="annotation text"/>
    <w:basedOn w:val="a"/>
    <w:link w:val="Char"/>
    <w:semiHidden/>
    <w:qFormat/>
  </w:style>
  <w:style w:type="paragraph" w:styleId="a5">
    <w:name w:val="caption"/>
    <w:basedOn w:val="a"/>
    <w:next w:val="a"/>
    <w:link w:val="Char0"/>
    <w:qFormat/>
    <w:rPr>
      <w:b/>
      <w:bCs/>
    </w:rPr>
  </w:style>
  <w:style w:type="paragraph" w:styleId="a6">
    <w:name w:val="Document Map"/>
    <w:basedOn w:val="a"/>
    <w:semiHidden/>
    <w:qFormat/>
    <w:pPr>
      <w:shd w:val="clear" w:color="auto" w:fill="000080"/>
    </w:pPr>
  </w:style>
  <w:style w:type="paragraph" w:styleId="a7">
    <w:name w:val="Body Text"/>
    <w:basedOn w:val="a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20">
    <w:name w:val="List 2"/>
    <w:basedOn w:val="a"/>
    <w:qFormat/>
    <w:pPr>
      <w:ind w:leftChars="200" w:left="100" w:hangingChars="200" w:hanging="200"/>
    </w:p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1"/>
    <w:qFormat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List"/>
    <w:basedOn w:val="a"/>
    <w:qFormat/>
    <w:pPr>
      <w:tabs>
        <w:tab w:val="left" w:pos="425"/>
      </w:tabs>
      <w:ind w:left="425" w:hanging="425"/>
    </w:pPr>
  </w:style>
  <w:style w:type="paragraph" w:styleId="50">
    <w:name w:val="List 5"/>
    <w:basedOn w:val="a"/>
    <w:qFormat/>
    <w:pPr>
      <w:ind w:leftChars="800" w:left="100" w:hangingChars="200" w:hanging="200"/>
    </w:pPr>
  </w:style>
  <w:style w:type="paragraph" w:styleId="40">
    <w:name w:val="List 4"/>
    <w:basedOn w:val="a"/>
    <w:qFormat/>
    <w:pPr>
      <w:ind w:leftChars="600" w:left="100" w:hangingChars="200" w:hanging="200"/>
    </w:pPr>
  </w:style>
  <w:style w:type="character" w:styleId="ac">
    <w:name w:val="page number"/>
    <w:basedOn w:val="a0"/>
    <w:qFormat/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Emphasis"/>
    <w:qFormat/>
    <w:rPr>
      <w:i/>
      <w:iCs/>
    </w:rPr>
  </w:style>
  <w:style w:type="character" w:styleId="af">
    <w:name w:val="Hyperlink"/>
    <w:uiPriority w:val="99"/>
    <w:qFormat/>
    <w:rPr>
      <w:color w:val="0000FF"/>
      <w:u w:val="single"/>
    </w:rPr>
  </w:style>
  <w:style w:type="character" w:styleId="af0">
    <w:name w:val="annotation reference"/>
    <w:semiHidden/>
    <w:qFormat/>
    <w:rPr>
      <w:sz w:val="21"/>
      <w:szCs w:val="21"/>
    </w:rPr>
  </w:style>
  <w:style w:type="table" w:styleId="af1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Theme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B4">
    <w:name w:val="B4"/>
    <w:basedOn w:val="40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Char1">
    <w:name w:val="页眉 Char"/>
    <w:link w:val="aa"/>
    <w:qFormat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="宋体" w:hAnsi="Arial"/>
      <w:b/>
      <w:sz w:val="18"/>
    </w:rPr>
  </w:style>
  <w:style w:type="character" w:customStyle="1" w:styleId="B1Char1">
    <w:name w:val="B1 Char1"/>
    <w:link w:val="B1"/>
    <w:qFormat/>
    <w:rPr>
      <w:rFonts w:eastAsia="宋体"/>
      <w:lang w:val="en-GB" w:eastAsia="en-US"/>
    </w:rPr>
  </w:style>
  <w:style w:type="paragraph" w:customStyle="1" w:styleId="B1">
    <w:name w:val="B1"/>
    <w:basedOn w:val="ab"/>
    <w:link w:val="B1Char1"/>
    <w:qFormat/>
    <w:pPr>
      <w:ind w:left="568" w:hanging="284"/>
    </w:pPr>
    <w:rPr>
      <w:rFonts w:eastAsia="宋体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Comments">
    <w:name w:val="Comments"/>
    <w:qFormat/>
    <w:rPr>
      <w:i/>
      <w:iCs/>
      <w:sz w:val="16"/>
    </w:rPr>
  </w:style>
  <w:style w:type="character" w:customStyle="1" w:styleId="Char0">
    <w:name w:val="题注 Char"/>
    <w:link w:val="a5"/>
    <w:qFormat/>
    <w:rPr>
      <w:rFonts w:eastAsia="Times New Roman"/>
      <w:b/>
      <w:bCs/>
      <w:lang w:val="en-GB" w:eastAsia="en-US"/>
    </w:rPr>
  </w:style>
  <w:style w:type="character" w:customStyle="1" w:styleId="highlight">
    <w:name w:val="highlight"/>
    <w:basedOn w:val="a0"/>
    <w:qFormat/>
  </w:style>
  <w:style w:type="character" w:customStyle="1" w:styleId="Char">
    <w:name w:val="批注文字 Char"/>
    <w:link w:val="a4"/>
    <w:semiHidden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ListParagraphChar">
    <w:name w:val="List Paragraph Char"/>
    <w:link w:val="ListParagraph1"/>
    <w:uiPriority w:val="34"/>
    <w:qFormat/>
    <w:rPr>
      <w:rFonts w:eastAsia="Times New Roman"/>
      <w:lang w:val="en-GB" w:eastAsia="en-US"/>
    </w:rPr>
  </w:style>
  <w:style w:type="paragraph" w:customStyle="1" w:styleId="ListParagraph1">
    <w:name w:val="List Paragraph1"/>
    <w:basedOn w:val="a"/>
    <w:link w:val="ListParagraphChar"/>
    <w:uiPriority w:val="34"/>
    <w:qFormat/>
    <w:pPr>
      <w:ind w:left="720"/>
      <w:contextualSpacing/>
    </w:pPr>
  </w:style>
  <w:style w:type="character" w:customStyle="1" w:styleId="shorttext">
    <w:name w:val="short_text"/>
    <w:basedOn w:val="a0"/>
    <w:qFormat/>
  </w:style>
  <w:style w:type="character" w:customStyle="1" w:styleId="B3Char">
    <w:name w:val="B3 Char"/>
    <w:qFormat/>
    <w:rPr>
      <w:lang w:val="en-GB" w:eastAsia="ja-JP" w:bidi="ar-SA"/>
    </w:rPr>
  </w:style>
  <w:style w:type="character" w:customStyle="1" w:styleId="def">
    <w:name w:val="def"/>
    <w:basedOn w:val="a0"/>
    <w:qFormat/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2Char">
    <w:name w:val="标题 2 Char"/>
    <w:link w:val="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宋体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hps">
    <w:name w:val="hps"/>
    <w:basedOn w:val="a0"/>
    <w:qFormat/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B10">
    <w:name w:val="B1 (文字)"/>
    <w:qFormat/>
    <w:rPr>
      <w:lang w:val="en-GB" w:eastAsia="ja-JP" w:bidi="ar-SA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3">
    <w:name w:val="B3"/>
    <w:basedOn w:val="30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EditorsNote">
    <w:name w:val="Editor's Note"/>
    <w:basedOn w:val="a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character" w:customStyle="1" w:styleId="apple-converted-space">
    <w:name w:val="apple-converted-space"/>
    <w:basedOn w:val="a0"/>
    <w:qFormat/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a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10">
    <w:name w:val="列出段落1"/>
    <w:basedOn w:val="a"/>
    <w:uiPriority w:val="34"/>
    <w:qFormat/>
    <w:pPr>
      <w:ind w:left="720"/>
      <w:contextualSpacing/>
    </w:p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"/>
    <w:next w:val="a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CharChar0">
    <w:name w:val="Char Char Char Char"/>
    <w:basedOn w:val="a"/>
    <w:qFormat/>
    <w:pPr>
      <w:spacing w:after="160" w:line="240" w:lineRule="exact"/>
    </w:pPr>
    <w:rPr>
      <w:rFonts w:ascii="Verdana" w:eastAsia="宋体" w:hAnsi="Verdana"/>
      <w:lang w:val="en-US"/>
    </w:rPr>
  </w:style>
  <w:style w:type="paragraph" w:customStyle="1" w:styleId="textintend1">
    <w:name w:val="text intend 1"/>
    <w:basedOn w:val="a"/>
    <w:qFormat/>
    <w:pPr>
      <w:numPr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pPr>
      <w:keepLines w:val="0"/>
      <w:numPr>
        <w:numId w:val="3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CharChar1">
    <w:name w:val="Char Char1"/>
    <w:basedOn w:val="a6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paragraph" w:customStyle="1" w:styleId="11">
    <w:name w:val="1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Reference0">
    <w:name w:val="Reference"/>
    <w:basedOn w:val="a"/>
    <w:qFormat/>
    <w:pPr>
      <w:widowControl w:val="0"/>
      <w:numPr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Style4">
    <w:name w:val="Style4"/>
    <w:basedOn w:val="a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21">
    <w:name w:val="标题2"/>
    <w:basedOn w:val="a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qFormat/>
    <w:pPr>
      <w:numPr>
        <w:numId w:val="6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FP">
    <w:name w:val="FP"/>
    <w:basedOn w:val="a"/>
    <w:qFormat/>
    <w:pPr>
      <w:spacing w:after="0"/>
    </w:pPr>
    <w:rPr>
      <w:rFonts w:eastAsia="宋体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Proposal">
    <w:name w:val="Proposal"/>
    <w:basedOn w:val="a"/>
    <w:qFormat/>
    <w:pPr>
      <w:numPr>
        <w:numId w:val="7"/>
      </w:numPr>
      <w:tabs>
        <w:tab w:val="left" w:pos="1701"/>
      </w:tabs>
      <w:overflowPunct w:val="0"/>
      <w:textAlignment w:val="baseline"/>
    </w:pPr>
    <w:rPr>
      <w:rFonts w:ascii="Arial" w:eastAsia="宋体" w:hAnsi="Arial"/>
      <w:b/>
      <w:bCs/>
      <w:lang w:eastAsia="zh-CN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ListParagraph11">
    <w:name w:val="List Paragraph11"/>
    <w:basedOn w:val="a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Char2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doc-title0">
    <w:name w:val="doc-title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reference">
    <w:name w:val="reference"/>
    <w:basedOn w:val="a7"/>
    <w:qFormat/>
    <w:pPr>
      <w:numPr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CharChar1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B5">
    <w:name w:val="B5"/>
    <w:basedOn w:val="50"/>
    <w:qFormat/>
    <w:pPr>
      <w:ind w:leftChars="0" w:left="1702" w:firstLineChars="0" w:hanging="284"/>
    </w:pPr>
    <w:rPr>
      <w:rFonts w:eastAsia="宋体"/>
    </w:rPr>
  </w:style>
  <w:style w:type="paragraph" w:customStyle="1" w:styleId="EW">
    <w:name w:val="EW"/>
    <w:basedOn w:val="a"/>
    <w:qFormat/>
    <w:pPr>
      <w:keepLines/>
      <w:spacing w:after="0"/>
      <w:ind w:left="1702" w:hanging="1418"/>
    </w:pPr>
    <w:rPr>
      <w:rFonts w:eastAsia="宋体"/>
    </w:rPr>
  </w:style>
  <w:style w:type="paragraph" w:customStyle="1" w:styleId="12">
    <w:name w:val="修订1"/>
    <w:hidden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1387</Words>
  <Characters>7912</Characters>
  <Application>Microsoft Office Word</Application>
  <DocSecurity>0</DocSecurity>
  <Lines>65</Lines>
  <Paragraphs>18</Paragraphs>
  <ScaleCrop>false</ScaleCrop>
  <Company>ZTE</Company>
  <LinksUpToDate>false</LinksUpToDate>
  <CharactersWithSpaces>9281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</dc:title>
  <dc:creator>ZTE</dc:creator>
  <cp:lastModifiedBy>吕开颖00029037</cp:lastModifiedBy>
  <cp:revision>5</cp:revision>
  <cp:lastPrinted>2018-02-16T23:29:00Z</cp:lastPrinted>
  <dcterms:created xsi:type="dcterms:W3CDTF">2018-05-11T13:48:00Z</dcterms:created>
  <dcterms:modified xsi:type="dcterms:W3CDTF">2018-05-11T14:02:00Z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2052-10.8.0.5918</vt:lpwstr>
  </property>
</Properties>
</file>